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CED27" w14:textId="77777777" w:rsidR="002D6A94" w:rsidRPr="002D6A94" w:rsidRDefault="002D6A94" w:rsidP="002D6A94">
      <w:pPr>
        <w:widowControl w:val="0"/>
        <w:tabs>
          <w:tab w:val="left" w:pos="720"/>
          <w:tab w:val="left" w:pos="1440"/>
          <w:tab w:val="right" w:pos="8931"/>
        </w:tabs>
        <w:spacing w:after="0" w:line="240" w:lineRule="auto"/>
        <w:jc w:val="right"/>
        <w:rPr>
          <w:rFonts w:ascii="Arial" w:hAnsi="Arial" w:cs="Arial"/>
          <w:spacing w:val="-2"/>
          <w:szCs w:val="20"/>
        </w:rPr>
      </w:pPr>
      <w:r w:rsidRPr="002D6A94">
        <w:rPr>
          <w:rFonts w:ascii="Arial" w:hAnsi="Arial" w:cs="Arial"/>
          <w:noProof/>
          <w14:ligatures w14:val="standardContextual"/>
        </w:rPr>
        <w:drawing>
          <wp:inline distT="0" distB="0" distL="0" distR="0" wp14:anchorId="7CF26F96" wp14:editId="7BAFD183">
            <wp:extent cx="1463040" cy="1286510"/>
            <wp:effectExtent l="0" t="0" r="0" b="0"/>
            <wp:docPr id="2" name="Picture 1"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black background with a black square&#10;&#10;AI-generated content may be incorrect."/>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3040" cy="1286510"/>
                    </a:xfrm>
                    <a:prstGeom prst="rect">
                      <a:avLst/>
                    </a:prstGeom>
                    <a:noFill/>
                  </pic:spPr>
                </pic:pic>
              </a:graphicData>
            </a:graphic>
          </wp:inline>
        </w:drawing>
      </w:r>
    </w:p>
    <w:p w14:paraId="4172C4F0" w14:textId="77777777" w:rsidR="002D6A94" w:rsidRPr="002D6A94" w:rsidRDefault="002D6A94" w:rsidP="002D6A94">
      <w:pPr>
        <w:widowControl w:val="0"/>
        <w:tabs>
          <w:tab w:val="left" w:pos="720"/>
          <w:tab w:val="left" w:pos="1440"/>
          <w:tab w:val="right" w:pos="8931"/>
        </w:tabs>
        <w:spacing w:after="0" w:line="240" w:lineRule="auto"/>
        <w:rPr>
          <w:rFonts w:ascii="Arial" w:hAnsi="Arial" w:cs="Arial"/>
          <w:spacing w:val="-2"/>
          <w:szCs w:val="20"/>
        </w:rPr>
      </w:pPr>
    </w:p>
    <w:p w14:paraId="6AFA07DF" w14:textId="77777777" w:rsidR="002D6A94" w:rsidRPr="002D6A94" w:rsidRDefault="002D6A94" w:rsidP="002D6A94">
      <w:pPr>
        <w:widowControl w:val="0"/>
        <w:tabs>
          <w:tab w:val="left" w:pos="720"/>
          <w:tab w:val="left" w:pos="1440"/>
          <w:tab w:val="right" w:pos="8931"/>
        </w:tabs>
        <w:spacing w:after="0" w:line="240" w:lineRule="auto"/>
        <w:rPr>
          <w:rFonts w:ascii="Arial" w:hAnsi="Arial" w:cs="Arial"/>
          <w:spacing w:val="-2"/>
          <w:szCs w:val="20"/>
        </w:rPr>
      </w:pPr>
    </w:p>
    <w:p w14:paraId="150CEA4E" w14:textId="59F0B7C3" w:rsidR="002D6A94" w:rsidRPr="002D6A94" w:rsidRDefault="002D6A94" w:rsidP="002D6A94">
      <w:pPr>
        <w:widowControl w:val="0"/>
        <w:tabs>
          <w:tab w:val="left" w:pos="720"/>
          <w:tab w:val="left" w:pos="1440"/>
          <w:tab w:val="right" w:pos="8931"/>
        </w:tabs>
        <w:spacing w:after="0" w:line="240" w:lineRule="auto"/>
        <w:rPr>
          <w:rFonts w:ascii="Arial" w:hAnsi="Arial" w:cs="Arial"/>
          <w:spacing w:val="-2"/>
          <w:sz w:val="20"/>
          <w:szCs w:val="20"/>
        </w:rPr>
      </w:pPr>
      <w:r w:rsidRPr="002D6A94">
        <w:rPr>
          <w:rFonts w:ascii="Arial" w:hAnsi="Arial" w:cs="Arial"/>
          <w:spacing w:val="-2"/>
          <w:sz w:val="20"/>
          <w:szCs w:val="20"/>
        </w:rPr>
        <w:t>Strasbourg, 19 September 2025</w:t>
      </w:r>
      <w:r w:rsidRPr="002D6A94">
        <w:rPr>
          <w:rFonts w:ascii="Arial" w:hAnsi="Arial" w:cs="Arial"/>
          <w:spacing w:val="-2"/>
          <w:sz w:val="20"/>
          <w:szCs w:val="20"/>
        </w:rPr>
        <w:tab/>
      </w:r>
      <w:r w:rsidRPr="00864B60">
        <w:rPr>
          <w:rFonts w:ascii="Arial" w:hAnsi="Arial" w:cs="Arial"/>
          <w:spacing w:val="-2"/>
          <w:sz w:val="20"/>
          <w:szCs w:val="20"/>
        </w:rPr>
        <w:t>GT-CS(2025)</w:t>
      </w:r>
      <w:r w:rsidR="00864B60">
        <w:rPr>
          <w:rFonts w:ascii="Arial" w:hAnsi="Arial" w:cs="Arial"/>
          <w:spacing w:val="-2"/>
          <w:sz w:val="20"/>
          <w:szCs w:val="20"/>
        </w:rPr>
        <w:t>5</w:t>
      </w:r>
    </w:p>
    <w:p w14:paraId="2B856237" w14:textId="77777777" w:rsidR="002D6A94" w:rsidRPr="002D6A94" w:rsidRDefault="002D6A94" w:rsidP="002D6A94">
      <w:pPr>
        <w:widowControl w:val="0"/>
        <w:tabs>
          <w:tab w:val="left" w:pos="720"/>
          <w:tab w:val="left" w:pos="1440"/>
          <w:tab w:val="center" w:pos="4513"/>
          <w:tab w:val="right" w:pos="9072"/>
        </w:tabs>
        <w:spacing w:after="0" w:line="240" w:lineRule="auto"/>
        <w:jc w:val="center"/>
        <w:rPr>
          <w:rFonts w:ascii="Arial" w:hAnsi="Arial" w:cs="Arial"/>
          <w:b/>
          <w:spacing w:val="-2"/>
          <w:sz w:val="20"/>
          <w:szCs w:val="20"/>
        </w:rPr>
      </w:pPr>
    </w:p>
    <w:p w14:paraId="3715B471" w14:textId="77777777" w:rsidR="002D6A94" w:rsidRPr="002D6A94" w:rsidRDefault="002D6A94" w:rsidP="002D6A94">
      <w:pPr>
        <w:widowControl w:val="0"/>
        <w:tabs>
          <w:tab w:val="left" w:pos="720"/>
          <w:tab w:val="left" w:pos="1440"/>
          <w:tab w:val="center" w:pos="4513"/>
          <w:tab w:val="right" w:pos="9072"/>
        </w:tabs>
        <w:spacing w:after="0" w:line="240" w:lineRule="auto"/>
        <w:rPr>
          <w:rFonts w:ascii="Arial" w:hAnsi="Arial" w:cs="Arial"/>
          <w:bCs/>
          <w:i/>
          <w:iCs/>
          <w:spacing w:val="-2"/>
        </w:rPr>
      </w:pPr>
    </w:p>
    <w:p w14:paraId="56B8326F" w14:textId="77777777" w:rsidR="002D6A94" w:rsidRPr="002D6A94" w:rsidRDefault="002D6A94" w:rsidP="002D6A94">
      <w:pPr>
        <w:widowControl w:val="0"/>
        <w:spacing w:after="0" w:line="240" w:lineRule="auto"/>
        <w:rPr>
          <w:rFonts w:ascii="Arial" w:hAnsi="Arial" w:cs="Arial"/>
          <w:b/>
          <w:bCs/>
        </w:rPr>
      </w:pPr>
    </w:p>
    <w:p w14:paraId="7373AEED" w14:textId="77777777" w:rsidR="002D6A94" w:rsidRPr="002D6A94" w:rsidRDefault="002D6A94" w:rsidP="002D6A94">
      <w:pPr>
        <w:widowControl w:val="0"/>
        <w:spacing w:after="0" w:line="240" w:lineRule="auto"/>
        <w:rPr>
          <w:rFonts w:ascii="Arial" w:hAnsi="Arial" w:cs="Arial"/>
          <w:b/>
          <w:bCs/>
        </w:rPr>
      </w:pPr>
    </w:p>
    <w:p w14:paraId="380ABBCD" w14:textId="77777777" w:rsidR="002D6A94" w:rsidRPr="002D6A94" w:rsidRDefault="002D6A94" w:rsidP="002D6A94">
      <w:pPr>
        <w:widowControl w:val="0"/>
        <w:spacing w:after="0" w:line="240" w:lineRule="auto"/>
        <w:jc w:val="center"/>
        <w:rPr>
          <w:rFonts w:ascii="Arial" w:hAnsi="Arial" w:cs="Arial"/>
          <w:b/>
          <w:bCs/>
          <w:sz w:val="28"/>
          <w:szCs w:val="28"/>
        </w:rPr>
      </w:pPr>
      <w:r w:rsidRPr="002D6A94">
        <w:rPr>
          <w:rFonts w:ascii="Arial" w:hAnsi="Arial" w:cs="Arial"/>
          <w:b/>
          <w:bCs/>
          <w:sz w:val="28"/>
          <w:szCs w:val="28"/>
        </w:rPr>
        <w:t xml:space="preserve">STEERING COMMITTEE ON DEMOCRACY </w:t>
      </w:r>
    </w:p>
    <w:p w14:paraId="0ED36B23" w14:textId="77777777" w:rsidR="002D6A94" w:rsidRPr="002D6A94" w:rsidRDefault="002D6A94" w:rsidP="002D6A94">
      <w:pPr>
        <w:widowControl w:val="0"/>
        <w:spacing w:after="0" w:line="240" w:lineRule="auto"/>
        <w:jc w:val="center"/>
        <w:rPr>
          <w:rFonts w:ascii="Arial" w:hAnsi="Arial" w:cs="Arial"/>
          <w:b/>
          <w:bCs/>
          <w:sz w:val="28"/>
          <w:szCs w:val="28"/>
        </w:rPr>
      </w:pPr>
      <w:r w:rsidRPr="002D6A94">
        <w:rPr>
          <w:rFonts w:ascii="Arial" w:hAnsi="Arial" w:cs="Arial"/>
          <w:b/>
          <w:bCs/>
          <w:sz w:val="28"/>
          <w:szCs w:val="28"/>
        </w:rPr>
        <w:t>(CDDEM)</w:t>
      </w:r>
    </w:p>
    <w:p w14:paraId="5FC1D203" w14:textId="77777777" w:rsidR="002D6A94" w:rsidRPr="002D6A94" w:rsidRDefault="002D6A94" w:rsidP="002D6A94">
      <w:pPr>
        <w:widowControl w:val="0"/>
        <w:spacing w:after="0" w:line="240" w:lineRule="auto"/>
        <w:jc w:val="center"/>
        <w:rPr>
          <w:rFonts w:ascii="Arial" w:hAnsi="Arial" w:cs="Arial"/>
          <w:b/>
          <w:bCs/>
        </w:rPr>
      </w:pPr>
    </w:p>
    <w:p w14:paraId="29A2B50D" w14:textId="77777777" w:rsidR="002D6A94" w:rsidRPr="002D6A94" w:rsidRDefault="002D6A94" w:rsidP="002D6A94">
      <w:pPr>
        <w:widowControl w:val="0"/>
        <w:spacing w:after="0" w:line="240" w:lineRule="auto"/>
        <w:rPr>
          <w:rFonts w:ascii="Arial" w:hAnsi="Arial" w:cs="Arial"/>
          <w:b/>
          <w:bCs/>
          <w:sz w:val="24"/>
          <w:szCs w:val="24"/>
        </w:rPr>
      </w:pPr>
    </w:p>
    <w:p w14:paraId="62088624" w14:textId="77777777" w:rsidR="002D6A94" w:rsidRPr="002D6A94" w:rsidRDefault="002D6A94" w:rsidP="002D6A94">
      <w:pPr>
        <w:widowControl w:val="0"/>
        <w:spacing w:after="0" w:line="240" w:lineRule="auto"/>
        <w:jc w:val="center"/>
        <w:rPr>
          <w:rFonts w:ascii="Arial" w:hAnsi="Arial" w:cs="Arial"/>
          <w:b/>
          <w:bCs/>
          <w:sz w:val="24"/>
          <w:szCs w:val="24"/>
        </w:rPr>
      </w:pPr>
    </w:p>
    <w:p w14:paraId="7C0F0BC9" w14:textId="77777777" w:rsidR="002D6A94" w:rsidRPr="002D6A94" w:rsidRDefault="002D6A94" w:rsidP="002D6A94">
      <w:pPr>
        <w:widowControl w:val="0"/>
        <w:spacing w:after="0" w:line="240" w:lineRule="auto"/>
        <w:jc w:val="center"/>
        <w:rPr>
          <w:rFonts w:ascii="Arial" w:hAnsi="Arial" w:cs="Arial"/>
          <w:b/>
          <w:bCs/>
          <w:sz w:val="24"/>
          <w:szCs w:val="24"/>
        </w:rPr>
      </w:pPr>
    </w:p>
    <w:p w14:paraId="68440FC2" w14:textId="77777777" w:rsidR="002D6A94" w:rsidRPr="002D6A94" w:rsidRDefault="002D6A94" w:rsidP="002D6A94">
      <w:pPr>
        <w:widowControl w:val="0"/>
        <w:spacing w:after="0" w:line="240" w:lineRule="auto"/>
        <w:jc w:val="center"/>
        <w:rPr>
          <w:rFonts w:ascii="Arial" w:hAnsi="Arial" w:cs="Arial"/>
          <w:b/>
          <w:bCs/>
          <w:sz w:val="24"/>
          <w:szCs w:val="24"/>
        </w:rPr>
      </w:pPr>
    </w:p>
    <w:p w14:paraId="161D7B7E" w14:textId="77777777" w:rsidR="002D6A94" w:rsidRPr="002D6A94" w:rsidRDefault="002D6A94" w:rsidP="002D6A94">
      <w:pPr>
        <w:widowControl w:val="0"/>
        <w:spacing w:after="0" w:line="240" w:lineRule="auto"/>
        <w:jc w:val="center"/>
        <w:rPr>
          <w:rFonts w:ascii="Arial" w:hAnsi="Arial" w:cs="Arial"/>
          <w:b/>
          <w:bCs/>
          <w:sz w:val="24"/>
          <w:szCs w:val="24"/>
        </w:rPr>
      </w:pPr>
    </w:p>
    <w:p w14:paraId="0417477A" w14:textId="77777777" w:rsidR="002D6A94" w:rsidRPr="002D6A94" w:rsidRDefault="002D6A94" w:rsidP="002D6A94">
      <w:pPr>
        <w:widowControl w:val="0"/>
        <w:spacing w:after="0" w:line="240" w:lineRule="auto"/>
        <w:jc w:val="center"/>
        <w:rPr>
          <w:rFonts w:ascii="Arial" w:hAnsi="Arial" w:cs="Arial"/>
          <w:b/>
          <w:bCs/>
        </w:rPr>
      </w:pPr>
    </w:p>
    <w:p w14:paraId="06419E6B" w14:textId="77777777" w:rsidR="002D6A94" w:rsidRPr="002D6A94" w:rsidRDefault="002D6A94" w:rsidP="002D6A94">
      <w:pPr>
        <w:widowControl w:val="0"/>
        <w:tabs>
          <w:tab w:val="left" w:pos="4680"/>
        </w:tabs>
        <w:spacing w:after="0" w:line="240" w:lineRule="auto"/>
        <w:jc w:val="both"/>
        <w:rPr>
          <w:rFonts w:ascii="Arial" w:hAnsi="Arial" w:cs="Arial"/>
          <w:sz w:val="20"/>
          <w:szCs w:val="20"/>
        </w:rPr>
      </w:pPr>
    </w:p>
    <w:p w14:paraId="2248866F" w14:textId="77777777" w:rsidR="00AA7BEF" w:rsidRDefault="002D6A94" w:rsidP="00AA7BEF">
      <w:pPr>
        <w:spacing w:after="0" w:line="240" w:lineRule="auto"/>
        <w:jc w:val="center"/>
        <w:rPr>
          <w:rFonts w:ascii="Arial" w:hAnsi="Arial" w:cs="Arial"/>
          <w:b/>
          <w:bCs/>
          <w:sz w:val="24"/>
          <w:szCs w:val="24"/>
        </w:rPr>
      </w:pPr>
      <w:r w:rsidRPr="00864B60">
        <w:rPr>
          <w:rFonts w:ascii="Arial" w:hAnsi="Arial" w:cs="Arial"/>
          <w:b/>
          <w:bCs/>
          <w:sz w:val="24"/>
          <w:szCs w:val="24"/>
        </w:rPr>
        <w:t xml:space="preserve">CDDEM WORK ON </w:t>
      </w:r>
    </w:p>
    <w:p w14:paraId="47BDB8B7" w14:textId="77777777" w:rsidR="00AA7BEF" w:rsidRDefault="002D6A94" w:rsidP="00AA7BEF">
      <w:pPr>
        <w:spacing w:after="0" w:line="240" w:lineRule="auto"/>
        <w:jc w:val="center"/>
        <w:rPr>
          <w:rFonts w:ascii="Arial" w:hAnsi="Arial" w:cs="Arial"/>
          <w:b/>
          <w:bCs/>
          <w:sz w:val="24"/>
          <w:szCs w:val="24"/>
        </w:rPr>
      </w:pPr>
      <w:r w:rsidRPr="00864B60">
        <w:rPr>
          <w:rFonts w:ascii="Arial" w:hAnsi="Arial" w:cs="Arial"/>
          <w:b/>
          <w:bCs/>
          <w:sz w:val="24"/>
          <w:szCs w:val="24"/>
        </w:rPr>
        <w:t xml:space="preserve">A COMMITTEE OF MINISTERS’ RECOMMENDATION </w:t>
      </w:r>
    </w:p>
    <w:p w14:paraId="747B5232" w14:textId="59B9CB6B" w:rsidR="002D6A94" w:rsidRPr="00864B60" w:rsidRDefault="002D6A94" w:rsidP="00AA7BEF">
      <w:pPr>
        <w:spacing w:after="0" w:line="240" w:lineRule="auto"/>
        <w:jc w:val="center"/>
        <w:rPr>
          <w:rFonts w:ascii="Arial" w:hAnsi="Arial" w:cs="Arial"/>
          <w:b/>
          <w:bCs/>
          <w:sz w:val="24"/>
          <w:szCs w:val="24"/>
        </w:rPr>
      </w:pPr>
      <w:r w:rsidRPr="00864B60">
        <w:rPr>
          <w:rFonts w:ascii="Arial" w:hAnsi="Arial" w:cs="Arial"/>
          <w:b/>
          <w:bCs/>
          <w:sz w:val="24"/>
          <w:szCs w:val="24"/>
        </w:rPr>
        <w:t>ON MULTILEVEL GOVERNANCE</w:t>
      </w:r>
    </w:p>
    <w:p w14:paraId="03F09D2D" w14:textId="77777777" w:rsidR="002D6A94" w:rsidRPr="00864B60" w:rsidRDefault="002D6A94" w:rsidP="002D6A94">
      <w:pPr>
        <w:jc w:val="center"/>
        <w:rPr>
          <w:rFonts w:ascii="Arial" w:hAnsi="Arial" w:cs="Arial"/>
          <w:b/>
          <w:bCs/>
          <w:sz w:val="24"/>
          <w:szCs w:val="24"/>
        </w:rPr>
      </w:pPr>
    </w:p>
    <w:p w14:paraId="1E671264" w14:textId="313D7DAB" w:rsidR="002D6A94" w:rsidRPr="00AA7BEF" w:rsidRDefault="002D6A94" w:rsidP="002D6A94">
      <w:pPr>
        <w:jc w:val="center"/>
        <w:rPr>
          <w:rFonts w:ascii="Arial" w:hAnsi="Arial" w:cs="Arial"/>
          <w:b/>
          <w:bCs/>
          <w:sz w:val="20"/>
          <w:szCs w:val="20"/>
        </w:rPr>
      </w:pPr>
      <w:r w:rsidRPr="00AA7BEF">
        <w:rPr>
          <w:rFonts w:ascii="Arial" w:hAnsi="Arial" w:cs="Arial"/>
          <w:b/>
          <w:bCs/>
          <w:sz w:val="20"/>
          <w:szCs w:val="20"/>
        </w:rPr>
        <w:t>POINTS FOR PRELIMINARY REFLECTION AND DISCUSSION</w:t>
      </w:r>
    </w:p>
    <w:p w14:paraId="09B5411B" w14:textId="4C5C2699" w:rsidR="002D6A94" w:rsidRPr="002D6A94" w:rsidRDefault="002D6A94" w:rsidP="002D6A94">
      <w:pPr>
        <w:spacing w:after="0" w:line="240" w:lineRule="auto"/>
        <w:jc w:val="center"/>
        <w:rPr>
          <w:rFonts w:ascii="Arial" w:hAnsi="Arial" w:cs="Arial"/>
          <w:b/>
          <w:bCs/>
          <w:sz w:val="24"/>
          <w:szCs w:val="24"/>
        </w:rPr>
      </w:pPr>
    </w:p>
    <w:p w14:paraId="098F6308" w14:textId="77777777" w:rsidR="002D6A94" w:rsidRPr="002D6A94" w:rsidRDefault="002D6A94" w:rsidP="002D6A94">
      <w:pPr>
        <w:widowControl w:val="0"/>
        <w:spacing w:after="0" w:line="240" w:lineRule="auto"/>
        <w:jc w:val="center"/>
        <w:rPr>
          <w:rFonts w:ascii="Arial" w:hAnsi="Arial" w:cs="Arial"/>
          <w:b/>
          <w:bCs/>
        </w:rPr>
      </w:pPr>
    </w:p>
    <w:p w14:paraId="5CD6E28D" w14:textId="77777777" w:rsidR="002D6A94" w:rsidRPr="002D6A94" w:rsidRDefault="002D6A94" w:rsidP="002D6A94">
      <w:pPr>
        <w:widowControl w:val="0"/>
        <w:spacing w:after="0" w:line="240" w:lineRule="auto"/>
        <w:jc w:val="center"/>
        <w:rPr>
          <w:rFonts w:ascii="Arial" w:hAnsi="Arial" w:cs="Arial"/>
          <w:b/>
          <w:bCs/>
        </w:rPr>
      </w:pPr>
    </w:p>
    <w:p w14:paraId="3ABE215A" w14:textId="77777777" w:rsidR="002D6A94" w:rsidRPr="002D6A94" w:rsidRDefault="002D6A94" w:rsidP="002D6A94">
      <w:pPr>
        <w:widowControl w:val="0"/>
        <w:spacing w:after="0" w:line="240" w:lineRule="auto"/>
        <w:jc w:val="center"/>
        <w:rPr>
          <w:rFonts w:ascii="Arial" w:hAnsi="Arial" w:cs="Arial"/>
          <w:b/>
          <w:bCs/>
        </w:rPr>
      </w:pPr>
    </w:p>
    <w:p w14:paraId="2B124347" w14:textId="77777777" w:rsidR="002D6A94" w:rsidRPr="002D6A94" w:rsidRDefault="002D6A94" w:rsidP="002D6A94">
      <w:pPr>
        <w:widowControl w:val="0"/>
        <w:spacing w:after="0" w:line="240" w:lineRule="auto"/>
        <w:jc w:val="center"/>
        <w:rPr>
          <w:rFonts w:ascii="Arial" w:hAnsi="Arial" w:cs="Arial"/>
          <w:b/>
          <w:bCs/>
        </w:rPr>
      </w:pPr>
    </w:p>
    <w:p w14:paraId="76ABBC81" w14:textId="77777777" w:rsidR="002D6A94" w:rsidRPr="002D6A94" w:rsidRDefault="002D6A94" w:rsidP="002D6A94">
      <w:pPr>
        <w:widowControl w:val="0"/>
        <w:spacing w:after="0" w:line="240" w:lineRule="auto"/>
        <w:jc w:val="center"/>
        <w:rPr>
          <w:rFonts w:ascii="Arial" w:hAnsi="Arial" w:cs="Arial"/>
          <w:b/>
          <w:bCs/>
        </w:rPr>
      </w:pPr>
    </w:p>
    <w:p w14:paraId="356B862B" w14:textId="77777777" w:rsidR="002D6A94" w:rsidRPr="002D6A94" w:rsidRDefault="002D6A94" w:rsidP="002D6A94">
      <w:pPr>
        <w:widowControl w:val="0"/>
        <w:tabs>
          <w:tab w:val="left" w:pos="720"/>
          <w:tab w:val="left" w:pos="1440"/>
          <w:tab w:val="center" w:pos="4513"/>
          <w:tab w:val="right" w:pos="9072"/>
        </w:tabs>
        <w:spacing w:after="0" w:line="240" w:lineRule="auto"/>
        <w:jc w:val="center"/>
        <w:rPr>
          <w:rFonts w:ascii="Arial" w:hAnsi="Arial" w:cs="Arial"/>
          <w:b/>
          <w:spacing w:val="-2"/>
        </w:rPr>
      </w:pPr>
    </w:p>
    <w:p w14:paraId="7906E946" w14:textId="77777777" w:rsidR="002D6A94" w:rsidRPr="002D6A94" w:rsidRDefault="002D6A94" w:rsidP="002D6A94">
      <w:pPr>
        <w:widowControl w:val="0"/>
        <w:tabs>
          <w:tab w:val="left" w:pos="720"/>
          <w:tab w:val="left" w:pos="1440"/>
          <w:tab w:val="center" w:pos="4513"/>
          <w:tab w:val="right" w:pos="9072"/>
        </w:tabs>
        <w:spacing w:after="0" w:line="240" w:lineRule="auto"/>
        <w:jc w:val="center"/>
        <w:rPr>
          <w:rFonts w:ascii="Arial" w:hAnsi="Arial" w:cs="Arial"/>
          <w:b/>
          <w:spacing w:val="-2"/>
        </w:rPr>
      </w:pPr>
    </w:p>
    <w:p w14:paraId="1930117A" w14:textId="77777777" w:rsidR="002D6A94" w:rsidRPr="002D6A94" w:rsidRDefault="002D6A94" w:rsidP="002D6A94">
      <w:pPr>
        <w:widowControl w:val="0"/>
        <w:tabs>
          <w:tab w:val="left" w:pos="720"/>
          <w:tab w:val="left" w:pos="1440"/>
          <w:tab w:val="center" w:pos="4513"/>
          <w:tab w:val="right" w:pos="9072"/>
        </w:tabs>
        <w:spacing w:after="0" w:line="240" w:lineRule="auto"/>
        <w:jc w:val="center"/>
        <w:rPr>
          <w:rFonts w:ascii="Arial" w:hAnsi="Arial" w:cs="Arial"/>
          <w:b/>
          <w:spacing w:val="-2"/>
        </w:rPr>
      </w:pPr>
    </w:p>
    <w:p w14:paraId="641B3049" w14:textId="77777777" w:rsidR="002D6A94" w:rsidRPr="002D6A94" w:rsidRDefault="002D6A94" w:rsidP="002D6A94">
      <w:pPr>
        <w:widowControl w:val="0"/>
        <w:tabs>
          <w:tab w:val="left" w:pos="720"/>
          <w:tab w:val="left" w:pos="1440"/>
          <w:tab w:val="center" w:pos="4513"/>
          <w:tab w:val="right" w:pos="9072"/>
        </w:tabs>
        <w:spacing w:after="0" w:line="240" w:lineRule="auto"/>
        <w:jc w:val="center"/>
        <w:rPr>
          <w:rFonts w:ascii="Arial" w:hAnsi="Arial" w:cs="Arial"/>
          <w:b/>
          <w:spacing w:val="-2"/>
        </w:rPr>
      </w:pPr>
    </w:p>
    <w:p w14:paraId="02185EDA" w14:textId="77777777" w:rsidR="002D6A94" w:rsidRPr="002D6A94" w:rsidRDefault="002D6A94" w:rsidP="002D6A94">
      <w:pPr>
        <w:widowControl w:val="0"/>
        <w:tabs>
          <w:tab w:val="left" w:pos="720"/>
          <w:tab w:val="left" w:pos="1440"/>
          <w:tab w:val="center" w:pos="4513"/>
          <w:tab w:val="right" w:pos="9072"/>
        </w:tabs>
        <w:spacing w:after="0" w:line="240" w:lineRule="auto"/>
        <w:jc w:val="center"/>
        <w:rPr>
          <w:rFonts w:ascii="Arial" w:hAnsi="Arial" w:cs="Arial"/>
          <w:b/>
          <w:spacing w:val="-2"/>
        </w:rPr>
      </w:pPr>
    </w:p>
    <w:p w14:paraId="7BFB8E1C" w14:textId="77777777" w:rsidR="002D6A94" w:rsidRPr="002D6A94" w:rsidRDefault="002D6A94" w:rsidP="002D6A94">
      <w:pPr>
        <w:widowControl w:val="0"/>
        <w:tabs>
          <w:tab w:val="left" w:pos="720"/>
          <w:tab w:val="left" w:pos="1440"/>
          <w:tab w:val="center" w:pos="4513"/>
          <w:tab w:val="right" w:pos="9072"/>
        </w:tabs>
        <w:spacing w:after="0" w:line="240" w:lineRule="auto"/>
        <w:jc w:val="center"/>
        <w:rPr>
          <w:rFonts w:ascii="Arial" w:hAnsi="Arial" w:cs="Arial"/>
          <w:b/>
          <w:spacing w:val="-2"/>
        </w:rPr>
      </w:pPr>
    </w:p>
    <w:p w14:paraId="7C87BBDC" w14:textId="77777777" w:rsidR="002D6A94" w:rsidRPr="002D6A94" w:rsidRDefault="002D6A94" w:rsidP="002D6A94">
      <w:pPr>
        <w:widowControl w:val="0"/>
        <w:tabs>
          <w:tab w:val="left" w:pos="720"/>
          <w:tab w:val="left" w:pos="1440"/>
          <w:tab w:val="center" w:pos="4513"/>
          <w:tab w:val="right" w:pos="9072"/>
        </w:tabs>
        <w:spacing w:after="0" w:line="240" w:lineRule="auto"/>
        <w:jc w:val="center"/>
        <w:rPr>
          <w:rFonts w:ascii="Arial" w:hAnsi="Arial" w:cs="Arial"/>
          <w:b/>
          <w:spacing w:val="-2"/>
        </w:rPr>
      </w:pPr>
    </w:p>
    <w:p w14:paraId="54A71854" w14:textId="77777777" w:rsidR="00AA7BEF" w:rsidRPr="000D7965" w:rsidRDefault="00AA7BEF" w:rsidP="00AA7BEF">
      <w:pPr>
        <w:tabs>
          <w:tab w:val="right" w:pos="9121"/>
        </w:tabs>
        <w:spacing w:after="0" w:line="240" w:lineRule="auto"/>
        <w:jc w:val="center"/>
        <w:rPr>
          <w:rFonts w:ascii="Arial" w:hAnsi="Arial" w:cs="Arial"/>
          <w:sz w:val="20"/>
        </w:rPr>
      </w:pPr>
      <w:r w:rsidRPr="000D7965">
        <w:rPr>
          <w:rFonts w:ascii="Arial" w:hAnsi="Arial" w:cs="Arial"/>
          <w:sz w:val="20"/>
          <w:szCs w:val="20"/>
        </w:rPr>
        <w:t xml:space="preserve">Prepared by </w:t>
      </w:r>
      <w:r w:rsidRPr="000D7965">
        <w:rPr>
          <w:rFonts w:ascii="Arial" w:hAnsi="Arial" w:cs="Arial"/>
          <w:sz w:val="20"/>
        </w:rPr>
        <w:t>the</w:t>
      </w:r>
    </w:p>
    <w:p w14:paraId="295D2DC0" w14:textId="77777777" w:rsidR="00AA7BEF" w:rsidRPr="000D7965" w:rsidRDefault="00AA7BEF" w:rsidP="00AA7BEF">
      <w:pPr>
        <w:tabs>
          <w:tab w:val="right" w:pos="9121"/>
        </w:tabs>
        <w:spacing w:after="0" w:line="240" w:lineRule="auto"/>
        <w:jc w:val="center"/>
        <w:rPr>
          <w:rFonts w:ascii="Arial" w:hAnsi="Arial" w:cs="Arial"/>
          <w:sz w:val="20"/>
        </w:rPr>
      </w:pPr>
      <w:r w:rsidRPr="000D7965">
        <w:rPr>
          <w:rFonts w:ascii="Arial" w:hAnsi="Arial" w:cs="Arial"/>
          <w:sz w:val="20"/>
        </w:rPr>
        <w:t>Directorate General of Democracy and Human Dignity</w:t>
      </w:r>
    </w:p>
    <w:p w14:paraId="76B0F36A" w14:textId="77777777" w:rsidR="00AA7BEF" w:rsidRPr="000D7965" w:rsidRDefault="00AA7BEF" w:rsidP="00AA7BEF">
      <w:pPr>
        <w:spacing w:after="0" w:line="240" w:lineRule="auto"/>
        <w:jc w:val="center"/>
        <w:rPr>
          <w:rFonts w:ascii="Arial" w:hAnsi="Arial" w:cs="Arial"/>
          <w:sz w:val="20"/>
        </w:rPr>
      </w:pPr>
      <w:r w:rsidRPr="000D7965">
        <w:rPr>
          <w:rFonts w:ascii="Arial" w:hAnsi="Arial" w:cs="Arial"/>
          <w:sz w:val="20"/>
        </w:rPr>
        <w:t>Democratic Institutions and Civil Society Division</w:t>
      </w:r>
    </w:p>
    <w:p w14:paraId="7D773373" w14:textId="77777777" w:rsidR="00AA7BEF" w:rsidRPr="000D7965" w:rsidRDefault="00AA7BEF" w:rsidP="00AA7BEF">
      <w:pPr>
        <w:widowControl w:val="0"/>
        <w:pBdr>
          <w:bottom w:val="single" w:sz="4" w:space="1" w:color="auto"/>
        </w:pBdr>
        <w:spacing w:after="0" w:line="240" w:lineRule="auto"/>
        <w:jc w:val="center"/>
        <w:rPr>
          <w:rFonts w:ascii="Arial" w:hAnsi="Arial" w:cs="Arial"/>
          <w:sz w:val="20"/>
          <w:szCs w:val="20"/>
        </w:rPr>
      </w:pPr>
      <w:r w:rsidRPr="000D7965">
        <w:rPr>
          <w:rFonts w:ascii="Arial" w:hAnsi="Arial" w:cs="Arial"/>
          <w:sz w:val="20"/>
          <w:szCs w:val="20"/>
        </w:rPr>
        <w:t>Council of Europe</w:t>
      </w:r>
    </w:p>
    <w:p w14:paraId="60FDAC0D" w14:textId="77777777" w:rsidR="00AA7BEF" w:rsidRPr="000D7965" w:rsidRDefault="00AA7BEF" w:rsidP="00AA7BEF">
      <w:pPr>
        <w:widowControl w:val="0"/>
        <w:pBdr>
          <w:bottom w:val="single" w:sz="4" w:space="1" w:color="auto"/>
        </w:pBdr>
        <w:spacing w:after="0" w:line="240" w:lineRule="auto"/>
        <w:jc w:val="center"/>
        <w:rPr>
          <w:rFonts w:ascii="Arial" w:hAnsi="Arial" w:cs="Arial"/>
          <w:sz w:val="20"/>
          <w:szCs w:val="20"/>
        </w:rPr>
      </w:pPr>
    </w:p>
    <w:p w14:paraId="7EBE5080" w14:textId="77777777" w:rsidR="00AA7BEF" w:rsidRPr="000D7965" w:rsidRDefault="00AA7BEF" w:rsidP="00AA7BEF">
      <w:pPr>
        <w:widowControl w:val="0"/>
        <w:spacing w:after="0" w:line="240" w:lineRule="auto"/>
        <w:jc w:val="center"/>
        <w:rPr>
          <w:rFonts w:ascii="Arial" w:hAnsi="Arial" w:cs="Arial"/>
          <w:b/>
          <w:bCs/>
          <w:iCs/>
          <w:sz w:val="18"/>
          <w:szCs w:val="18"/>
        </w:rPr>
      </w:pPr>
    </w:p>
    <w:p w14:paraId="6EA77F20" w14:textId="7BD6EB7D" w:rsidR="00864B60" w:rsidRDefault="00864B60">
      <w:pPr>
        <w:spacing w:line="278" w:lineRule="auto"/>
        <w:rPr>
          <w:rFonts w:ascii="Arial" w:hAnsi="Arial" w:cs="Arial"/>
          <w:b/>
          <w:bCs/>
          <w:sz w:val="20"/>
          <w:szCs w:val="20"/>
          <w:u w:val="single"/>
        </w:rPr>
      </w:pPr>
    </w:p>
    <w:p w14:paraId="0E130AEC" w14:textId="77777777" w:rsidR="00864B60" w:rsidRDefault="00864B60">
      <w:pPr>
        <w:spacing w:line="278" w:lineRule="auto"/>
        <w:rPr>
          <w:rFonts w:ascii="Arial" w:hAnsi="Arial" w:cs="Arial"/>
          <w:b/>
          <w:bCs/>
          <w:sz w:val="20"/>
          <w:szCs w:val="20"/>
          <w:u w:val="single"/>
        </w:rPr>
      </w:pPr>
      <w:r>
        <w:rPr>
          <w:rFonts w:ascii="Arial" w:hAnsi="Arial" w:cs="Arial"/>
          <w:b/>
          <w:bCs/>
          <w:sz w:val="20"/>
          <w:szCs w:val="20"/>
          <w:u w:val="single"/>
        </w:rPr>
        <w:br w:type="page"/>
      </w:r>
    </w:p>
    <w:p w14:paraId="535F8C06" w14:textId="0A55866F" w:rsidR="002D6A94" w:rsidRDefault="002D6A94" w:rsidP="002D6A94">
      <w:pPr>
        <w:widowControl w:val="0"/>
        <w:tabs>
          <w:tab w:val="center" w:pos="4680"/>
        </w:tabs>
        <w:spacing w:after="0" w:line="240" w:lineRule="auto"/>
        <w:jc w:val="both"/>
        <w:rPr>
          <w:rFonts w:ascii="Arial" w:hAnsi="Arial" w:cs="Arial"/>
          <w:b/>
          <w:bCs/>
          <w:sz w:val="20"/>
          <w:szCs w:val="20"/>
          <w:u w:val="single"/>
        </w:rPr>
      </w:pPr>
      <w:r w:rsidRPr="002D6A94">
        <w:rPr>
          <w:rFonts w:ascii="Arial" w:hAnsi="Arial" w:cs="Arial"/>
          <w:b/>
          <w:bCs/>
          <w:sz w:val="20"/>
          <w:szCs w:val="20"/>
          <w:u w:val="single"/>
        </w:rPr>
        <w:lastRenderedPageBreak/>
        <w:t>Background</w:t>
      </w:r>
    </w:p>
    <w:p w14:paraId="79EF029B" w14:textId="77777777" w:rsidR="002D6A94" w:rsidRPr="002D6A94" w:rsidRDefault="002D6A94" w:rsidP="002D6A94">
      <w:pPr>
        <w:widowControl w:val="0"/>
        <w:tabs>
          <w:tab w:val="center" w:pos="4680"/>
        </w:tabs>
        <w:spacing w:after="0" w:line="240" w:lineRule="auto"/>
        <w:jc w:val="both"/>
        <w:rPr>
          <w:rFonts w:ascii="Arial" w:hAnsi="Arial" w:cs="Arial"/>
          <w:b/>
          <w:bCs/>
          <w:sz w:val="20"/>
          <w:szCs w:val="20"/>
          <w:u w:val="single"/>
        </w:rPr>
      </w:pPr>
    </w:p>
    <w:p w14:paraId="412D7493" w14:textId="77777777" w:rsidR="002D6A94" w:rsidRPr="002D6A94" w:rsidRDefault="002D6A94" w:rsidP="002D6A94">
      <w:pPr>
        <w:pStyle w:val="ListParagraph"/>
        <w:numPr>
          <w:ilvl w:val="0"/>
          <w:numId w:val="19"/>
        </w:numPr>
        <w:spacing w:after="0"/>
        <w:jc w:val="both"/>
        <w:rPr>
          <w:rFonts w:ascii="Arial" w:hAnsi="Arial" w:cs="Arial"/>
          <w:sz w:val="20"/>
          <w:szCs w:val="20"/>
        </w:rPr>
      </w:pPr>
      <w:r w:rsidRPr="002D6A94">
        <w:rPr>
          <w:rFonts w:ascii="Arial" w:hAnsi="Arial" w:cs="Arial"/>
          <w:b/>
          <w:bCs/>
          <w:sz w:val="20"/>
          <w:szCs w:val="20"/>
        </w:rPr>
        <w:t>Procedure</w:t>
      </w:r>
      <w:r w:rsidRPr="002D6A94">
        <w:rPr>
          <w:rFonts w:ascii="Arial" w:hAnsi="Arial" w:cs="Arial"/>
          <w:sz w:val="20"/>
          <w:szCs w:val="20"/>
        </w:rPr>
        <w:t>: It has been proposed to extend the deadline for finalising the Recommendation until the end of 2027, in order to allow the CDDEM to continue developing standard-setting instruments within biennial cycles.</w:t>
      </w:r>
    </w:p>
    <w:p w14:paraId="07DE05B2" w14:textId="77777777" w:rsidR="002D6A94" w:rsidRPr="002D6A94" w:rsidRDefault="002D6A94" w:rsidP="002D6A94">
      <w:pPr>
        <w:pStyle w:val="ListParagraph"/>
        <w:spacing w:after="0"/>
        <w:jc w:val="both"/>
        <w:rPr>
          <w:rFonts w:ascii="Arial" w:hAnsi="Arial" w:cs="Arial"/>
          <w:sz w:val="20"/>
          <w:szCs w:val="20"/>
        </w:rPr>
      </w:pPr>
    </w:p>
    <w:p w14:paraId="6B8D2C6B" w14:textId="77777777" w:rsidR="002D6A94" w:rsidRPr="002D6A94" w:rsidRDefault="002D6A94" w:rsidP="002D6A94">
      <w:pPr>
        <w:pStyle w:val="ListParagraph"/>
        <w:numPr>
          <w:ilvl w:val="0"/>
          <w:numId w:val="19"/>
        </w:numPr>
        <w:spacing w:after="0"/>
        <w:jc w:val="both"/>
        <w:rPr>
          <w:rFonts w:ascii="Arial" w:hAnsi="Arial" w:cs="Arial"/>
          <w:sz w:val="20"/>
          <w:szCs w:val="20"/>
        </w:rPr>
      </w:pPr>
      <w:r w:rsidRPr="002D6A94">
        <w:rPr>
          <w:rFonts w:ascii="Arial" w:hAnsi="Arial" w:cs="Arial"/>
          <w:b/>
          <w:bCs/>
          <w:sz w:val="20"/>
          <w:szCs w:val="20"/>
        </w:rPr>
        <w:t>Working Group on multilevel governance (MLG)</w:t>
      </w:r>
      <w:r w:rsidRPr="002D6A94">
        <w:rPr>
          <w:rFonts w:ascii="Arial" w:hAnsi="Arial" w:cs="Arial"/>
          <w:sz w:val="20"/>
          <w:szCs w:val="20"/>
        </w:rPr>
        <w:t>: A proposal may be submitted to the CDDEM Bureau and Plenary to establish a dedicated working group tasked with elaborating the draft Recommendation.</w:t>
      </w:r>
    </w:p>
    <w:p w14:paraId="21EDEBE6" w14:textId="77777777" w:rsidR="002D6A94" w:rsidRPr="002D6A94" w:rsidRDefault="002D6A94" w:rsidP="002D6A94">
      <w:pPr>
        <w:spacing w:after="0"/>
        <w:jc w:val="both"/>
        <w:rPr>
          <w:rFonts w:ascii="Arial" w:hAnsi="Arial" w:cs="Arial"/>
          <w:sz w:val="20"/>
          <w:szCs w:val="20"/>
        </w:rPr>
      </w:pPr>
    </w:p>
    <w:p w14:paraId="3F7FA71A" w14:textId="77777777" w:rsidR="002D6A94" w:rsidRPr="002D6A94" w:rsidRDefault="002D6A94" w:rsidP="002D6A94">
      <w:pPr>
        <w:pStyle w:val="ListParagraph"/>
        <w:numPr>
          <w:ilvl w:val="0"/>
          <w:numId w:val="19"/>
        </w:numPr>
        <w:spacing w:after="0"/>
        <w:jc w:val="both"/>
        <w:rPr>
          <w:rFonts w:ascii="Arial" w:hAnsi="Arial" w:cs="Arial"/>
          <w:sz w:val="20"/>
          <w:szCs w:val="20"/>
        </w:rPr>
      </w:pPr>
      <w:r w:rsidRPr="002D6A94">
        <w:rPr>
          <w:rFonts w:ascii="Arial" w:hAnsi="Arial" w:cs="Arial"/>
          <w:b/>
          <w:bCs/>
          <w:sz w:val="20"/>
          <w:szCs w:val="20"/>
        </w:rPr>
        <w:t>Terms of reference</w:t>
      </w:r>
      <w:r w:rsidRPr="002D6A94">
        <w:rPr>
          <w:rFonts w:ascii="Arial" w:hAnsi="Arial" w:cs="Arial"/>
          <w:sz w:val="20"/>
          <w:szCs w:val="20"/>
        </w:rPr>
        <w:t>: To be prepared for the working group, addressing in particular:</w:t>
      </w:r>
    </w:p>
    <w:p w14:paraId="3F21A836" w14:textId="77777777" w:rsidR="002D6A94" w:rsidRPr="002D6A94" w:rsidRDefault="002D6A94" w:rsidP="002D6A94">
      <w:pPr>
        <w:rPr>
          <w:rFonts w:ascii="Arial" w:hAnsi="Arial" w:cs="Arial"/>
          <w:b/>
          <w:bCs/>
          <w:sz w:val="20"/>
          <w:szCs w:val="20"/>
        </w:rPr>
      </w:pPr>
      <w:r w:rsidRPr="002D6A94">
        <w:rPr>
          <w:rFonts w:ascii="Arial" w:hAnsi="Arial" w:cs="Arial"/>
          <w:sz w:val="20"/>
          <w:szCs w:val="20"/>
        </w:rPr>
        <w:t xml:space="preserve">the desired profile </w:t>
      </w:r>
    </w:p>
    <w:p w14:paraId="1F3A7467" w14:textId="093EF411" w:rsidR="002D6A94" w:rsidRPr="002D6A94" w:rsidRDefault="002D6A94" w:rsidP="002D6A94">
      <w:pPr>
        <w:numPr>
          <w:ilvl w:val="0"/>
          <w:numId w:val="18"/>
        </w:numPr>
        <w:spacing w:after="0"/>
        <w:jc w:val="both"/>
        <w:rPr>
          <w:rFonts w:ascii="Arial" w:hAnsi="Arial" w:cs="Arial"/>
          <w:sz w:val="20"/>
          <w:szCs w:val="20"/>
        </w:rPr>
      </w:pPr>
      <w:r w:rsidRPr="002D6A94">
        <w:rPr>
          <w:rFonts w:ascii="Arial" w:hAnsi="Arial" w:cs="Arial"/>
          <w:sz w:val="20"/>
          <w:szCs w:val="20"/>
        </w:rPr>
        <w:t>of members;</w:t>
      </w:r>
    </w:p>
    <w:p w14:paraId="209052BC" w14:textId="77777777" w:rsidR="002D6A94" w:rsidRPr="002D6A94" w:rsidRDefault="002D6A94" w:rsidP="002D6A94">
      <w:pPr>
        <w:numPr>
          <w:ilvl w:val="0"/>
          <w:numId w:val="18"/>
        </w:numPr>
        <w:spacing w:after="0"/>
        <w:jc w:val="both"/>
        <w:rPr>
          <w:rFonts w:ascii="Arial" w:hAnsi="Arial" w:cs="Arial"/>
          <w:sz w:val="20"/>
          <w:szCs w:val="20"/>
        </w:rPr>
      </w:pPr>
      <w:r w:rsidRPr="002D6A94">
        <w:rPr>
          <w:rFonts w:ascii="Arial" w:hAnsi="Arial" w:cs="Arial"/>
          <w:sz w:val="20"/>
          <w:szCs w:val="20"/>
        </w:rPr>
        <w:t>the possible inclusion of independent experts;</w:t>
      </w:r>
    </w:p>
    <w:p w14:paraId="5BC2BC6E" w14:textId="77777777" w:rsidR="002D6A94" w:rsidRPr="002D6A94" w:rsidRDefault="002D6A94" w:rsidP="002D6A94">
      <w:pPr>
        <w:numPr>
          <w:ilvl w:val="0"/>
          <w:numId w:val="18"/>
        </w:numPr>
        <w:spacing w:after="0"/>
        <w:jc w:val="both"/>
        <w:rPr>
          <w:rFonts w:ascii="Arial" w:hAnsi="Arial" w:cs="Arial"/>
          <w:sz w:val="20"/>
          <w:szCs w:val="20"/>
        </w:rPr>
      </w:pPr>
      <w:r w:rsidRPr="002D6A94">
        <w:rPr>
          <w:rFonts w:ascii="Arial" w:hAnsi="Arial" w:cs="Arial"/>
          <w:sz w:val="20"/>
          <w:szCs w:val="20"/>
        </w:rPr>
        <w:t>the working methods to be followed;</w:t>
      </w:r>
    </w:p>
    <w:p w14:paraId="58C3A266" w14:textId="77777777" w:rsidR="002D6A94" w:rsidRPr="002D6A94" w:rsidRDefault="002D6A94" w:rsidP="002D6A94">
      <w:pPr>
        <w:numPr>
          <w:ilvl w:val="0"/>
          <w:numId w:val="18"/>
        </w:numPr>
        <w:spacing w:after="0"/>
        <w:jc w:val="both"/>
        <w:rPr>
          <w:rFonts w:ascii="Arial" w:hAnsi="Arial" w:cs="Arial"/>
          <w:sz w:val="20"/>
          <w:szCs w:val="20"/>
        </w:rPr>
      </w:pPr>
      <w:r w:rsidRPr="002D6A94">
        <w:rPr>
          <w:rFonts w:ascii="Arial" w:hAnsi="Arial" w:cs="Arial"/>
          <w:sz w:val="20"/>
          <w:szCs w:val="20"/>
        </w:rPr>
        <w:t>the background documents to guide the drafting process.</w:t>
      </w:r>
    </w:p>
    <w:p w14:paraId="643A061C" w14:textId="77777777" w:rsidR="002D6A94" w:rsidRPr="002D6A94" w:rsidRDefault="002D6A94" w:rsidP="002D6A94">
      <w:pPr>
        <w:rPr>
          <w:rFonts w:ascii="Arial" w:hAnsi="Arial" w:cs="Arial"/>
          <w:sz w:val="20"/>
          <w:szCs w:val="20"/>
        </w:rPr>
      </w:pPr>
    </w:p>
    <w:p w14:paraId="21093EF5" w14:textId="77777777" w:rsidR="002D6A94" w:rsidRPr="002D6A94" w:rsidRDefault="002D6A94" w:rsidP="002D6A94">
      <w:pPr>
        <w:rPr>
          <w:rFonts w:ascii="Arial" w:hAnsi="Arial" w:cs="Arial"/>
          <w:b/>
          <w:bCs/>
          <w:sz w:val="20"/>
          <w:szCs w:val="20"/>
          <w:u w:val="single"/>
        </w:rPr>
      </w:pPr>
      <w:r w:rsidRPr="002D6A94">
        <w:rPr>
          <w:rFonts w:ascii="Arial" w:hAnsi="Arial" w:cs="Arial"/>
          <w:b/>
          <w:bCs/>
          <w:sz w:val="20"/>
          <w:szCs w:val="20"/>
          <w:u w:val="single"/>
        </w:rPr>
        <w:t>Some points for reflection</w:t>
      </w:r>
    </w:p>
    <w:p w14:paraId="7AC10E39" w14:textId="77777777" w:rsidR="002D6A94" w:rsidRPr="002D6A94" w:rsidRDefault="002D6A94" w:rsidP="002D6A94">
      <w:pPr>
        <w:jc w:val="both"/>
        <w:rPr>
          <w:rFonts w:ascii="Arial" w:hAnsi="Arial" w:cs="Arial"/>
          <w:b/>
          <w:bCs/>
          <w:sz w:val="20"/>
          <w:szCs w:val="20"/>
        </w:rPr>
      </w:pPr>
      <w:r w:rsidRPr="002D6A94">
        <w:rPr>
          <w:rFonts w:ascii="Arial" w:hAnsi="Arial" w:cs="Arial"/>
          <w:b/>
          <w:bCs/>
          <w:sz w:val="20"/>
          <w:szCs w:val="20"/>
        </w:rPr>
        <w:t>1. Interplay between the future recommendation on multilevel governance and the European Charter of Local Self-Government</w:t>
      </w:r>
    </w:p>
    <w:p w14:paraId="5B4B9D03" w14:textId="77777777" w:rsidR="002D6A94" w:rsidRPr="002D6A94" w:rsidRDefault="002D6A94" w:rsidP="002D6A94">
      <w:pPr>
        <w:numPr>
          <w:ilvl w:val="0"/>
          <w:numId w:val="16"/>
        </w:numPr>
        <w:jc w:val="both"/>
        <w:rPr>
          <w:rFonts w:ascii="Arial" w:hAnsi="Arial" w:cs="Arial"/>
          <w:sz w:val="20"/>
          <w:szCs w:val="20"/>
        </w:rPr>
      </w:pPr>
      <w:r w:rsidRPr="002D6A94">
        <w:rPr>
          <w:rFonts w:ascii="Arial" w:hAnsi="Arial" w:cs="Arial"/>
          <w:b/>
          <w:bCs/>
          <w:sz w:val="20"/>
          <w:szCs w:val="20"/>
        </w:rPr>
        <w:t>Avoiding duplication or conflict</w:t>
      </w:r>
      <w:r w:rsidRPr="002D6A94">
        <w:rPr>
          <w:rFonts w:ascii="Arial" w:hAnsi="Arial" w:cs="Arial"/>
          <w:sz w:val="20"/>
          <w:szCs w:val="20"/>
        </w:rPr>
        <w:t>: The Charter already enshrines key guarantees (constitutional/legal foundation, scope of self-government, adequate resources, consultation, supervision, freedom of association, judicial protection). A Recommendation should build on these obligations.</w:t>
      </w:r>
    </w:p>
    <w:p w14:paraId="7ED3631D" w14:textId="77777777" w:rsidR="002D6A94" w:rsidRPr="002D6A94" w:rsidRDefault="002D6A94" w:rsidP="002D6A94">
      <w:pPr>
        <w:numPr>
          <w:ilvl w:val="0"/>
          <w:numId w:val="16"/>
        </w:numPr>
        <w:jc w:val="both"/>
        <w:rPr>
          <w:rFonts w:ascii="Arial" w:hAnsi="Arial" w:cs="Arial"/>
          <w:sz w:val="20"/>
          <w:szCs w:val="20"/>
        </w:rPr>
      </w:pPr>
      <w:r w:rsidRPr="002D6A94">
        <w:rPr>
          <w:rFonts w:ascii="Arial" w:hAnsi="Arial" w:cs="Arial"/>
          <w:b/>
          <w:bCs/>
          <w:sz w:val="20"/>
          <w:szCs w:val="20"/>
        </w:rPr>
        <w:t>Complementarity</w:t>
      </w:r>
      <w:r w:rsidRPr="002D6A94">
        <w:rPr>
          <w:rFonts w:ascii="Arial" w:hAnsi="Arial" w:cs="Arial"/>
          <w:sz w:val="20"/>
          <w:szCs w:val="20"/>
        </w:rPr>
        <w:t>: The Charter is about local self-government; the Recommendation could potentially address the interplay between different levels (local – regional – national – supranational) and principles of coordination, co-operation, innovation, capacity building, and citizen participation across levels.</w:t>
      </w:r>
    </w:p>
    <w:p w14:paraId="0E8E4660" w14:textId="77777777" w:rsidR="002D6A94" w:rsidRPr="002D6A94" w:rsidRDefault="002D6A94" w:rsidP="002D6A94">
      <w:pPr>
        <w:numPr>
          <w:ilvl w:val="0"/>
          <w:numId w:val="16"/>
        </w:numPr>
        <w:jc w:val="both"/>
        <w:rPr>
          <w:rFonts w:ascii="Arial" w:hAnsi="Arial" w:cs="Arial"/>
          <w:sz w:val="20"/>
          <w:szCs w:val="20"/>
        </w:rPr>
      </w:pPr>
      <w:r w:rsidRPr="002D6A94">
        <w:rPr>
          <w:rFonts w:ascii="Arial" w:hAnsi="Arial" w:cs="Arial"/>
          <w:b/>
          <w:bCs/>
          <w:sz w:val="20"/>
          <w:szCs w:val="20"/>
        </w:rPr>
        <w:t>Updating context</w:t>
      </w:r>
      <w:r w:rsidRPr="002D6A94">
        <w:rPr>
          <w:rFonts w:ascii="Arial" w:hAnsi="Arial" w:cs="Arial"/>
          <w:sz w:val="20"/>
          <w:szCs w:val="20"/>
        </w:rPr>
        <w:t>: While the Charter remains highly relevant, the Recommendation could reflect new governance challenges ranging from digitalisation, cross-jurisdictional cooperation, climate governance, AI governance, disinformation, etc. It could provide relevant guidance for the new environment while remaining faithful to Charter principles.</w:t>
      </w:r>
    </w:p>
    <w:p w14:paraId="032E87A7" w14:textId="77777777" w:rsidR="002D6A94" w:rsidRPr="002D6A94" w:rsidRDefault="002D6A94" w:rsidP="002D6A94">
      <w:pPr>
        <w:numPr>
          <w:ilvl w:val="0"/>
          <w:numId w:val="16"/>
        </w:numPr>
        <w:jc w:val="both"/>
        <w:rPr>
          <w:rFonts w:ascii="Arial" w:hAnsi="Arial" w:cs="Arial"/>
          <w:sz w:val="20"/>
          <w:szCs w:val="20"/>
        </w:rPr>
      </w:pPr>
      <w:r w:rsidRPr="002D6A94">
        <w:rPr>
          <w:rFonts w:ascii="Arial" w:hAnsi="Arial" w:cs="Arial"/>
          <w:b/>
          <w:bCs/>
          <w:sz w:val="20"/>
          <w:szCs w:val="20"/>
        </w:rPr>
        <w:t>Guardrails</w:t>
      </w:r>
      <w:r w:rsidRPr="002D6A94">
        <w:rPr>
          <w:rFonts w:ascii="Arial" w:hAnsi="Arial" w:cs="Arial"/>
          <w:sz w:val="20"/>
          <w:szCs w:val="20"/>
        </w:rPr>
        <w:t>: Nothing in the Recommendation should undermine the Charter’s guarantees (e.g., Article 4 on subsidiarity or Article 9 on financial autonomy). It should be stressed that effective MLG can contribute to effective implementation of the Charter.</w:t>
      </w:r>
    </w:p>
    <w:p w14:paraId="2B16BCAE" w14:textId="77777777" w:rsidR="002D6A94" w:rsidRPr="002D6A94" w:rsidRDefault="002D6A94" w:rsidP="002D6A94">
      <w:pPr>
        <w:jc w:val="both"/>
        <w:rPr>
          <w:rFonts w:ascii="Arial" w:hAnsi="Arial" w:cs="Arial"/>
          <w:b/>
          <w:bCs/>
          <w:sz w:val="20"/>
          <w:szCs w:val="20"/>
        </w:rPr>
      </w:pPr>
      <w:r w:rsidRPr="002D6A94">
        <w:rPr>
          <w:rFonts w:ascii="Arial" w:hAnsi="Arial" w:cs="Arial"/>
          <w:b/>
          <w:bCs/>
          <w:sz w:val="20"/>
          <w:szCs w:val="20"/>
        </w:rPr>
        <w:t>2. Synergies with OECD work</w:t>
      </w:r>
    </w:p>
    <w:p w14:paraId="22511CBB" w14:textId="25D34C0C" w:rsidR="008F0396" w:rsidRDefault="002D6A94" w:rsidP="002D6A94">
      <w:pPr>
        <w:numPr>
          <w:ilvl w:val="0"/>
          <w:numId w:val="17"/>
        </w:numPr>
        <w:jc w:val="both"/>
        <w:rPr>
          <w:rFonts w:ascii="Arial" w:hAnsi="Arial" w:cs="Arial"/>
          <w:sz w:val="20"/>
          <w:szCs w:val="20"/>
        </w:rPr>
      </w:pPr>
      <w:r w:rsidRPr="002D6A94">
        <w:rPr>
          <w:rFonts w:ascii="Arial" w:hAnsi="Arial" w:cs="Arial"/>
          <w:sz w:val="20"/>
          <w:szCs w:val="20"/>
        </w:rPr>
        <w:t xml:space="preserve">The Recommendation should be complementary, not competing with the OECD work and recommendations on MLG. If the OECD provides a more practical toolbox for MLG (fiscal arrangements, equalisation, performance monitoring, etc.), the Council of Europe Recommendation can be grounded in democratic principles and safeguards, the rule of law and human rights as its normative foundations. It will be important to show coherence with global good practices and cross-institutional alignment, to the extent possible. </w:t>
      </w:r>
    </w:p>
    <w:p w14:paraId="361929B3" w14:textId="77777777" w:rsidR="008F0396" w:rsidRDefault="008F0396">
      <w:pPr>
        <w:spacing w:line="278" w:lineRule="auto"/>
        <w:rPr>
          <w:rFonts w:ascii="Arial" w:hAnsi="Arial" w:cs="Arial"/>
          <w:sz w:val="20"/>
          <w:szCs w:val="20"/>
        </w:rPr>
      </w:pPr>
      <w:r>
        <w:rPr>
          <w:rFonts w:ascii="Arial" w:hAnsi="Arial" w:cs="Arial"/>
          <w:sz w:val="20"/>
          <w:szCs w:val="20"/>
        </w:rPr>
        <w:br w:type="page"/>
      </w:r>
    </w:p>
    <w:p w14:paraId="1CC80149" w14:textId="77777777" w:rsidR="002D6A94" w:rsidRPr="002D6A94" w:rsidRDefault="002D6A94" w:rsidP="002D6A94">
      <w:pPr>
        <w:jc w:val="both"/>
        <w:rPr>
          <w:rFonts w:ascii="Arial" w:hAnsi="Arial" w:cs="Arial"/>
          <w:b/>
          <w:bCs/>
          <w:sz w:val="20"/>
          <w:szCs w:val="20"/>
        </w:rPr>
      </w:pPr>
      <w:r w:rsidRPr="002D6A94">
        <w:rPr>
          <w:rFonts w:ascii="Arial" w:hAnsi="Arial" w:cs="Arial"/>
          <w:b/>
          <w:bCs/>
          <w:sz w:val="20"/>
          <w:szCs w:val="20"/>
        </w:rPr>
        <w:lastRenderedPageBreak/>
        <w:t>3. Possible framing of the future recommendation on MLG</w:t>
      </w:r>
    </w:p>
    <w:p w14:paraId="3FE60EB5" w14:textId="77777777" w:rsidR="002D6A94" w:rsidRPr="002D6A94" w:rsidRDefault="002D6A94" w:rsidP="002D6A94">
      <w:pPr>
        <w:jc w:val="both"/>
        <w:rPr>
          <w:rFonts w:ascii="Arial" w:hAnsi="Arial" w:cs="Arial"/>
          <w:sz w:val="20"/>
          <w:szCs w:val="20"/>
        </w:rPr>
      </w:pPr>
      <w:r w:rsidRPr="002D6A94">
        <w:rPr>
          <w:rFonts w:ascii="Arial" w:hAnsi="Arial" w:cs="Arial"/>
          <w:sz w:val="20"/>
          <w:szCs w:val="20"/>
        </w:rPr>
        <w:t>Following the invitation at the 3rd plenary of the CDDEM or delegations supportive of work on a Recommendation to submit additional ideas and proposals in writing, the UK delegation — which was closely involved in the drafting of the CDDG report on multilevel governance (MLG) — reiterated its view that a Recommendation on MLG would be a valuable instrument.</w:t>
      </w:r>
    </w:p>
    <w:p w14:paraId="77CF10A4" w14:textId="77777777" w:rsidR="002D6A94" w:rsidRPr="002D6A94" w:rsidRDefault="002D6A94" w:rsidP="002D6A94">
      <w:pPr>
        <w:jc w:val="both"/>
        <w:rPr>
          <w:rFonts w:ascii="Arial" w:hAnsi="Arial" w:cs="Arial"/>
          <w:sz w:val="20"/>
          <w:szCs w:val="20"/>
        </w:rPr>
      </w:pPr>
      <w:r w:rsidRPr="002D6A94">
        <w:rPr>
          <w:rFonts w:ascii="Arial" w:hAnsi="Arial" w:cs="Arial"/>
          <w:sz w:val="20"/>
          <w:szCs w:val="20"/>
        </w:rPr>
        <w:t>The UK delegation underlined that “strong local and regional democracy is one of the key considerations in strengthening democracy and preventing democratic backsliding. Therefore, we believe the opportunity this Recommendation presents to promote systems of MLG, support member States in adopting fully functional and effective systems of MLG, and operationalise key parts of the Reykjavík Principles will help to support the fundamental work of the CDDEM.”</w:t>
      </w:r>
    </w:p>
    <w:p w14:paraId="5DBE4A14" w14:textId="77777777" w:rsidR="002D6A94" w:rsidRPr="002D6A94" w:rsidRDefault="002D6A94" w:rsidP="002D6A94">
      <w:pPr>
        <w:jc w:val="both"/>
        <w:rPr>
          <w:rFonts w:ascii="Arial" w:hAnsi="Arial" w:cs="Arial"/>
          <w:sz w:val="20"/>
          <w:szCs w:val="20"/>
        </w:rPr>
      </w:pPr>
      <w:r w:rsidRPr="002D6A94">
        <w:rPr>
          <w:rFonts w:ascii="Arial" w:hAnsi="Arial" w:cs="Arial"/>
          <w:sz w:val="20"/>
          <w:szCs w:val="20"/>
        </w:rPr>
        <w:t>The delegation further proposed that the guidelines of the future Recommendation be framed around the “Principles for MLG” identified in the CDDG report.</w:t>
      </w:r>
    </w:p>
    <w:p w14:paraId="799399A8" w14:textId="2E7AAEC1" w:rsidR="002D6A94" w:rsidRPr="002D6A94" w:rsidRDefault="002D6A94" w:rsidP="002D6A94">
      <w:pPr>
        <w:jc w:val="both"/>
        <w:rPr>
          <w:rFonts w:ascii="Arial" w:hAnsi="Arial" w:cs="Arial"/>
          <w:sz w:val="20"/>
          <w:szCs w:val="20"/>
        </w:rPr>
      </w:pPr>
      <w:r w:rsidRPr="002D6A94">
        <w:rPr>
          <w:rFonts w:ascii="Arial" w:hAnsi="Arial" w:cs="Arial"/>
          <w:sz w:val="20"/>
          <w:szCs w:val="20"/>
        </w:rPr>
        <w:t>To stimulate discussion on the possible contours of the instrument, the Secretariat has expanded these principles with potential concrete issues that could be addressed in the future Recommendation.</w:t>
      </w:r>
    </w:p>
    <w:p w14:paraId="19DBAC69" w14:textId="228ADBF2" w:rsidR="002D6A94" w:rsidRPr="002D6A94" w:rsidRDefault="002D6A94" w:rsidP="002D6A94">
      <w:pPr>
        <w:rPr>
          <w:rFonts w:ascii="Arial" w:hAnsi="Arial" w:cs="Arial"/>
          <w:b/>
          <w:bCs/>
          <w:sz w:val="20"/>
          <w:szCs w:val="20"/>
        </w:rPr>
      </w:pPr>
      <w:r>
        <w:rPr>
          <w:rFonts w:ascii="Arial" w:hAnsi="Arial" w:cs="Arial"/>
          <w:b/>
          <w:bCs/>
          <w:sz w:val="20"/>
          <w:szCs w:val="20"/>
        </w:rPr>
        <w:t xml:space="preserve">4. </w:t>
      </w:r>
      <w:r w:rsidRPr="002D6A94">
        <w:rPr>
          <w:rFonts w:ascii="Arial" w:hAnsi="Arial" w:cs="Arial"/>
          <w:b/>
          <w:bCs/>
          <w:sz w:val="20"/>
          <w:szCs w:val="20"/>
        </w:rPr>
        <w:t>Draft expanded principles with potential issues to address</w:t>
      </w:r>
    </w:p>
    <w:p w14:paraId="1B71F8F6" w14:textId="4B32BA3F" w:rsidR="002D6A94" w:rsidRPr="002D6A94" w:rsidRDefault="002D6A94" w:rsidP="002D6A94">
      <w:pPr>
        <w:jc w:val="both"/>
        <w:rPr>
          <w:rFonts w:ascii="Arial" w:hAnsi="Arial" w:cs="Arial"/>
          <w:b/>
          <w:bCs/>
          <w:sz w:val="20"/>
          <w:szCs w:val="20"/>
        </w:rPr>
      </w:pPr>
      <w:r>
        <w:rPr>
          <w:rFonts w:ascii="Arial" w:hAnsi="Arial" w:cs="Arial"/>
          <w:b/>
          <w:bCs/>
          <w:sz w:val="20"/>
          <w:szCs w:val="20"/>
        </w:rPr>
        <w:t>4.</w:t>
      </w:r>
      <w:r w:rsidRPr="002D6A94">
        <w:rPr>
          <w:rFonts w:ascii="Arial" w:hAnsi="Arial" w:cs="Arial"/>
          <w:b/>
          <w:bCs/>
          <w:sz w:val="20"/>
          <w:szCs w:val="20"/>
        </w:rPr>
        <w:t>1. Compliance with the principles of good democratic governance</w:t>
      </w:r>
    </w:p>
    <w:p w14:paraId="7E68AD69" w14:textId="77777777" w:rsidR="002D6A94" w:rsidRPr="002D6A94" w:rsidRDefault="002D6A94" w:rsidP="002D6A94">
      <w:pPr>
        <w:numPr>
          <w:ilvl w:val="0"/>
          <w:numId w:val="7"/>
        </w:numPr>
        <w:jc w:val="both"/>
        <w:rPr>
          <w:rFonts w:ascii="Arial" w:hAnsi="Arial" w:cs="Arial"/>
          <w:sz w:val="20"/>
          <w:szCs w:val="20"/>
        </w:rPr>
      </w:pPr>
      <w:r w:rsidRPr="002D6A94">
        <w:rPr>
          <w:rFonts w:ascii="Arial" w:hAnsi="Arial" w:cs="Arial"/>
          <w:sz w:val="20"/>
          <w:szCs w:val="20"/>
        </w:rPr>
        <w:t>Anchoring the recommendation in CM/Rec(2023)5 (participation, transparency, responsiveness, accountability, efficiency, effectiveness, respect for human rights).</w:t>
      </w:r>
    </w:p>
    <w:p w14:paraId="10D19041" w14:textId="77777777" w:rsidR="002D6A94" w:rsidRPr="002D6A94" w:rsidRDefault="002D6A94" w:rsidP="002D6A94">
      <w:pPr>
        <w:numPr>
          <w:ilvl w:val="0"/>
          <w:numId w:val="7"/>
        </w:numPr>
        <w:jc w:val="both"/>
        <w:rPr>
          <w:rFonts w:ascii="Arial" w:hAnsi="Arial" w:cs="Arial"/>
          <w:sz w:val="20"/>
          <w:szCs w:val="20"/>
        </w:rPr>
      </w:pPr>
      <w:r w:rsidRPr="002D6A94">
        <w:rPr>
          <w:rFonts w:ascii="Arial" w:hAnsi="Arial" w:cs="Arial"/>
          <w:sz w:val="20"/>
          <w:szCs w:val="20"/>
        </w:rPr>
        <w:t>Link MLG explicitly with protection of democracy, rule of law and human rights.</w:t>
      </w:r>
    </w:p>
    <w:p w14:paraId="5297D1DF" w14:textId="77777777" w:rsidR="002D6A94" w:rsidRPr="002D6A94" w:rsidRDefault="002D6A94" w:rsidP="002D6A94">
      <w:pPr>
        <w:numPr>
          <w:ilvl w:val="0"/>
          <w:numId w:val="7"/>
        </w:numPr>
        <w:jc w:val="both"/>
        <w:rPr>
          <w:rFonts w:ascii="Arial" w:hAnsi="Arial" w:cs="Arial"/>
          <w:sz w:val="20"/>
          <w:szCs w:val="20"/>
        </w:rPr>
      </w:pPr>
      <w:r w:rsidRPr="002D6A94">
        <w:rPr>
          <w:rFonts w:ascii="Arial" w:hAnsi="Arial" w:cs="Arial"/>
          <w:sz w:val="20"/>
          <w:szCs w:val="20"/>
        </w:rPr>
        <w:t>Promoting resilience of institutions through checks and balances.</w:t>
      </w:r>
    </w:p>
    <w:p w14:paraId="255B440F" w14:textId="77777777" w:rsidR="002D6A94" w:rsidRPr="002D6A94" w:rsidRDefault="002D6A94" w:rsidP="002D6A94">
      <w:pPr>
        <w:numPr>
          <w:ilvl w:val="0"/>
          <w:numId w:val="7"/>
        </w:numPr>
        <w:jc w:val="both"/>
        <w:rPr>
          <w:rFonts w:ascii="Arial" w:hAnsi="Arial" w:cs="Arial"/>
          <w:sz w:val="20"/>
          <w:szCs w:val="20"/>
        </w:rPr>
      </w:pPr>
      <w:r w:rsidRPr="002D6A94">
        <w:rPr>
          <w:rFonts w:ascii="Arial" w:hAnsi="Arial" w:cs="Arial"/>
          <w:sz w:val="20"/>
          <w:szCs w:val="20"/>
        </w:rPr>
        <w:t>Encouraging self-assessments and evaluations of democratic governance at all levels.</w:t>
      </w:r>
    </w:p>
    <w:p w14:paraId="394ECA71" w14:textId="051BC07B" w:rsidR="002D6A94" w:rsidRPr="002D6A94" w:rsidRDefault="002D6A94" w:rsidP="002D6A94">
      <w:pPr>
        <w:jc w:val="both"/>
        <w:rPr>
          <w:rFonts w:ascii="Arial" w:hAnsi="Arial" w:cs="Arial"/>
          <w:b/>
          <w:bCs/>
          <w:sz w:val="20"/>
          <w:szCs w:val="20"/>
        </w:rPr>
      </w:pPr>
      <w:r>
        <w:rPr>
          <w:rFonts w:ascii="Arial" w:hAnsi="Arial" w:cs="Arial"/>
          <w:b/>
          <w:bCs/>
          <w:sz w:val="20"/>
          <w:szCs w:val="20"/>
        </w:rPr>
        <w:t>4.</w:t>
      </w:r>
      <w:r w:rsidRPr="002D6A94">
        <w:rPr>
          <w:rFonts w:ascii="Arial" w:hAnsi="Arial" w:cs="Arial"/>
          <w:b/>
          <w:bCs/>
          <w:sz w:val="20"/>
          <w:szCs w:val="20"/>
        </w:rPr>
        <w:t>2. Respect for each institution / institutional autonomy</w:t>
      </w:r>
    </w:p>
    <w:p w14:paraId="1EB92679" w14:textId="77777777" w:rsidR="002D6A94" w:rsidRPr="002D6A94" w:rsidRDefault="002D6A94" w:rsidP="002D6A94">
      <w:pPr>
        <w:numPr>
          <w:ilvl w:val="0"/>
          <w:numId w:val="8"/>
        </w:numPr>
        <w:jc w:val="both"/>
        <w:rPr>
          <w:rFonts w:ascii="Arial" w:hAnsi="Arial" w:cs="Arial"/>
          <w:sz w:val="20"/>
          <w:szCs w:val="20"/>
        </w:rPr>
      </w:pPr>
      <w:r w:rsidRPr="002D6A94">
        <w:rPr>
          <w:rFonts w:ascii="Arial" w:hAnsi="Arial" w:cs="Arial"/>
          <w:sz w:val="20"/>
          <w:szCs w:val="20"/>
        </w:rPr>
        <w:t>Ensure autonomy of each level of government, preventing arbitrary interference from central governments.</w:t>
      </w:r>
    </w:p>
    <w:p w14:paraId="4005A621" w14:textId="77777777" w:rsidR="002D6A94" w:rsidRPr="002D6A94" w:rsidRDefault="002D6A94" w:rsidP="002D6A94">
      <w:pPr>
        <w:numPr>
          <w:ilvl w:val="0"/>
          <w:numId w:val="8"/>
        </w:numPr>
        <w:jc w:val="both"/>
        <w:rPr>
          <w:rFonts w:ascii="Arial" w:hAnsi="Arial" w:cs="Arial"/>
          <w:sz w:val="20"/>
          <w:szCs w:val="20"/>
        </w:rPr>
      </w:pPr>
      <w:r w:rsidRPr="002D6A94">
        <w:rPr>
          <w:rFonts w:ascii="Arial" w:hAnsi="Arial" w:cs="Arial"/>
          <w:sz w:val="20"/>
          <w:szCs w:val="20"/>
        </w:rPr>
        <w:t>Promoting mutual trust and co-operation between different levels of government.</w:t>
      </w:r>
    </w:p>
    <w:p w14:paraId="33C32657" w14:textId="77777777" w:rsidR="002D6A94" w:rsidRPr="002D6A94" w:rsidRDefault="002D6A94" w:rsidP="002D6A94">
      <w:pPr>
        <w:numPr>
          <w:ilvl w:val="0"/>
          <w:numId w:val="8"/>
        </w:numPr>
        <w:jc w:val="both"/>
        <w:rPr>
          <w:rFonts w:ascii="Arial" w:hAnsi="Arial" w:cs="Arial"/>
          <w:sz w:val="20"/>
          <w:szCs w:val="20"/>
        </w:rPr>
      </w:pPr>
      <w:r w:rsidRPr="002D6A94">
        <w:rPr>
          <w:rFonts w:ascii="Arial" w:hAnsi="Arial" w:cs="Arial"/>
          <w:sz w:val="20"/>
          <w:szCs w:val="20"/>
        </w:rPr>
        <w:t>Providing mechanisms for conflict resolution across levels (judicial review, mediation).</w:t>
      </w:r>
    </w:p>
    <w:p w14:paraId="60A2B617" w14:textId="77777777" w:rsidR="002D6A94" w:rsidRPr="002D6A94" w:rsidRDefault="002D6A94" w:rsidP="002D6A94">
      <w:pPr>
        <w:numPr>
          <w:ilvl w:val="0"/>
          <w:numId w:val="8"/>
        </w:numPr>
        <w:jc w:val="both"/>
        <w:rPr>
          <w:rFonts w:ascii="Arial" w:hAnsi="Arial" w:cs="Arial"/>
          <w:sz w:val="20"/>
          <w:szCs w:val="20"/>
        </w:rPr>
      </w:pPr>
      <w:r w:rsidRPr="002D6A94">
        <w:rPr>
          <w:rFonts w:ascii="Arial" w:hAnsi="Arial" w:cs="Arial"/>
          <w:sz w:val="20"/>
          <w:szCs w:val="20"/>
        </w:rPr>
        <w:t>Recognising diversity of institutional models (unitary, federal, asymmetric arrangements).</w:t>
      </w:r>
    </w:p>
    <w:p w14:paraId="5D306C11" w14:textId="521AE609" w:rsidR="002D6A94" w:rsidRPr="002D6A94" w:rsidRDefault="002D6A94" w:rsidP="002D6A94">
      <w:pPr>
        <w:jc w:val="both"/>
        <w:rPr>
          <w:rFonts w:ascii="Arial" w:hAnsi="Arial" w:cs="Arial"/>
          <w:b/>
          <w:bCs/>
          <w:sz w:val="20"/>
          <w:szCs w:val="20"/>
        </w:rPr>
      </w:pPr>
      <w:r>
        <w:rPr>
          <w:rFonts w:ascii="Arial" w:hAnsi="Arial" w:cs="Arial"/>
          <w:b/>
          <w:bCs/>
          <w:sz w:val="20"/>
          <w:szCs w:val="20"/>
        </w:rPr>
        <w:t>4.</w:t>
      </w:r>
      <w:r w:rsidRPr="002D6A94">
        <w:rPr>
          <w:rFonts w:ascii="Arial" w:hAnsi="Arial" w:cs="Arial"/>
          <w:b/>
          <w:bCs/>
          <w:sz w:val="20"/>
          <w:szCs w:val="20"/>
        </w:rPr>
        <w:t>3. Rationale</w:t>
      </w:r>
    </w:p>
    <w:p w14:paraId="25AEAE9B" w14:textId="77777777" w:rsidR="002D6A94" w:rsidRPr="002D6A94" w:rsidRDefault="002D6A94" w:rsidP="002D6A94">
      <w:pPr>
        <w:numPr>
          <w:ilvl w:val="0"/>
          <w:numId w:val="9"/>
        </w:numPr>
        <w:jc w:val="both"/>
        <w:rPr>
          <w:rFonts w:ascii="Arial" w:hAnsi="Arial" w:cs="Arial"/>
          <w:sz w:val="20"/>
          <w:szCs w:val="20"/>
        </w:rPr>
      </w:pPr>
      <w:r w:rsidRPr="002D6A94">
        <w:rPr>
          <w:rFonts w:ascii="Arial" w:hAnsi="Arial" w:cs="Arial"/>
          <w:sz w:val="20"/>
          <w:szCs w:val="20"/>
        </w:rPr>
        <w:t>Clear allocation of competences and responsibilities in line with the principles of subsidiarity and proportionality.</w:t>
      </w:r>
    </w:p>
    <w:p w14:paraId="396D2F66" w14:textId="77777777" w:rsidR="002D6A94" w:rsidRPr="002D6A94" w:rsidRDefault="002D6A94" w:rsidP="002D6A94">
      <w:pPr>
        <w:numPr>
          <w:ilvl w:val="0"/>
          <w:numId w:val="9"/>
        </w:numPr>
        <w:jc w:val="both"/>
        <w:rPr>
          <w:rFonts w:ascii="Arial" w:hAnsi="Arial" w:cs="Arial"/>
          <w:sz w:val="20"/>
          <w:szCs w:val="20"/>
        </w:rPr>
      </w:pPr>
      <w:r w:rsidRPr="002D6A94">
        <w:rPr>
          <w:rFonts w:ascii="Arial" w:hAnsi="Arial" w:cs="Arial"/>
          <w:sz w:val="20"/>
          <w:szCs w:val="20"/>
        </w:rPr>
        <w:t>Avoiding duplication or “grey zones” that cause inefficiency or power struggles.</w:t>
      </w:r>
    </w:p>
    <w:p w14:paraId="2CC033A6" w14:textId="77777777" w:rsidR="002D6A94" w:rsidRPr="002D6A94" w:rsidRDefault="002D6A94" w:rsidP="002D6A94">
      <w:pPr>
        <w:numPr>
          <w:ilvl w:val="0"/>
          <w:numId w:val="9"/>
        </w:numPr>
        <w:jc w:val="both"/>
        <w:rPr>
          <w:rFonts w:ascii="Arial" w:hAnsi="Arial" w:cs="Arial"/>
          <w:sz w:val="20"/>
          <w:szCs w:val="20"/>
        </w:rPr>
      </w:pPr>
      <w:r w:rsidRPr="002D6A94">
        <w:rPr>
          <w:rFonts w:ascii="Arial" w:hAnsi="Arial" w:cs="Arial"/>
          <w:sz w:val="20"/>
          <w:szCs w:val="20"/>
        </w:rPr>
        <w:t>Specifying shared competences and coordination requirements for them.</w:t>
      </w:r>
    </w:p>
    <w:p w14:paraId="648A27BE" w14:textId="77777777" w:rsidR="002D6A94" w:rsidRDefault="002D6A94" w:rsidP="002D6A94">
      <w:pPr>
        <w:numPr>
          <w:ilvl w:val="0"/>
          <w:numId w:val="9"/>
        </w:numPr>
        <w:jc w:val="both"/>
        <w:rPr>
          <w:rFonts w:ascii="Arial" w:hAnsi="Arial" w:cs="Arial"/>
          <w:sz w:val="20"/>
          <w:szCs w:val="20"/>
        </w:rPr>
      </w:pPr>
      <w:r w:rsidRPr="002D6A94">
        <w:rPr>
          <w:rFonts w:ascii="Arial" w:hAnsi="Arial" w:cs="Arial"/>
          <w:sz w:val="20"/>
          <w:szCs w:val="20"/>
        </w:rPr>
        <w:t>Updating competences/responsibilities regularly to reflect evolving challenges (climate change, digitalisation).</w:t>
      </w:r>
    </w:p>
    <w:p w14:paraId="7CA4EBAB" w14:textId="5DF1EC71" w:rsidR="008F0396" w:rsidRDefault="008F0396">
      <w:pPr>
        <w:spacing w:line="278" w:lineRule="auto"/>
        <w:rPr>
          <w:rFonts w:ascii="Arial" w:hAnsi="Arial" w:cs="Arial"/>
          <w:sz w:val="20"/>
          <w:szCs w:val="20"/>
        </w:rPr>
      </w:pPr>
      <w:r>
        <w:rPr>
          <w:rFonts w:ascii="Arial" w:hAnsi="Arial" w:cs="Arial"/>
          <w:sz w:val="20"/>
          <w:szCs w:val="20"/>
        </w:rPr>
        <w:br w:type="page"/>
      </w:r>
    </w:p>
    <w:p w14:paraId="232385F5" w14:textId="76AFACBD" w:rsidR="002D6A94" w:rsidRPr="002D6A94" w:rsidRDefault="002D6A94" w:rsidP="002D6A94">
      <w:pPr>
        <w:jc w:val="both"/>
        <w:rPr>
          <w:rFonts w:ascii="Arial" w:hAnsi="Arial" w:cs="Arial"/>
          <w:b/>
          <w:bCs/>
          <w:sz w:val="20"/>
          <w:szCs w:val="20"/>
        </w:rPr>
      </w:pPr>
      <w:r w:rsidRPr="002D6A94">
        <w:rPr>
          <w:rFonts w:ascii="Arial" w:hAnsi="Arial" w:cs="Arial"/>
          <w:b/>
          <w:bCs/>
          <w:sz w:val="20"/>
          <w:szCs w:val="20"/>
        </w:rPr>
        <w:lastRenderedPageBreak/>
        <w:t>4</w:t>
      </w:r>
      <w:r>
        <w:rPr>
          <w:rFonts w:ascii="Arial" w:hAnsi="Arial" w:cs="Arial"/>
          <w:b/>
          <w:bCs/>
          <w:sz w:val="20"/>
          <w:szCs w:val="20"/>
        </w:rPr>
        <w:t>.4</w:t>
      </w:r>
      <w:r w:rsidRPr="002D6A94">
        <w:rPr>
          <w:rFonts w:ascii="Arial" w:hAnsi="Arial" w:cs="Arial"/>
          <w:b/>
          <w:bCs/>
          <w:sz w:val="20"/>
          <w:szCs w:val="20"/>
        </w:rPr>
        <w:t>. Legislative framework</w:t>
      </w:r>
    </w:p>
    <w:p w14:paraId="24D6CAFE" w14:textId="77777777" w:rsidR="002D6A94" w:rsidRPr="002D6A94" w:rsidRDefault="002D6A94" w:rsidP="002D6A94">
      <w:pPr>
        <w:numPr>
          <w:ilvl w:val="0"/>
          <w:numId w:val="10"/>
        </w:numPr>
        <w:jc w:val="both"/>
        <w:rPr>
          <w:rFonts w:ascii="Arial" w:hAnsi="Arial" w:cs="Arial"/>
          <w:sz w:val="20"/>
          <w:szCs w:val="20"/>
        </w:rPr>
      </w:pPr>
      <w:r w:rsidRPr="002D6A94">
        <w:rPr>
          <w:rFonts w:ascii="Arial" w:hAnsi="Arial" w:cs="Arial"/>
          <w:sz w:val="20"/>
          <w:szCs w:val="20"/>
        </w:rPr>
        <w:t>Clear legal basis for MLG, embedded in constitutions or statutes where relevant.</w:t>
      </w:r>
    </w:p>
    <w:p w14:paraId="5F363495" w14:textId="77777777" w:rsidR="002D6A94" w:rsidRPr="002D6A94" w:rsidRDefault="002D6A94" w:rsidP="002D6A94">
      <w:pPr>
        <w:numPr>
          <w:ilvl w:val="0"/>
          <w:numId w:val="10"/>
        </w:numPr>
        <w:jc w:val="both"/>
        <w:rPr>
          <w:rFonts w:ascii="Arial" w:hAnsi="Arial" w:cs="Arial"/>
          <w:sz w:val="20"/>
          <w:szCs w:val="20"/>
        </w:rPr>
      </w:pPr>
      <w:r w:rsidRPr="002D6A94">
        <w:rPr>
          <w:rFonts w:ascii="Arial" w:hAnsi="Arial" w:cs="Arial"/>
          <w:sz w:val="20"/>
          <w:szCs w:val="20"/>
        </w:rPr>
        <w:t>Importance of stable and predictable arrangements; changes only by as determined in the law.</w:t>
      </w:r>
    </w:p>
    <w:p w14:paraId="3D8C2ED1" w14:textId="77777777" w:rsidR="002D6A94" w:rsidRPr="002D6A94" w:rsidRDefault="002D6A94" w:rsidP="002D6A94">
      <w:pPr>
        <w:numPr>
          <w:ilvl w:val="0"/>
          <w:numId w:val="10"/>
        </w:numPr>
        <w:jc w:val="both"/>
        <w:rPr>
          <w:rFonts w:ascii="Arial" w:hAnsi="Arial" w:cs="Arial"/>
          <w:sz w:val="20"/>
          <w:szCs w:val="20"/>
        </w:rPr>
      </w:pPr>
      <w:r w:rsidRPr="002D6A94">
        <w:rPr>
          <w:rFonts w:ascii="Arial" w:hAnsi="Arial" w:cs="Arial"/>
          <w:sz w:val="20"/>
          <w:szCs w:val="20"/>
        </w:rPr>
        <w:t>Integration of participatory rights and accountability in the legal framework.</w:t>
      </w:r>
    </w:p>
    <w:p w14:paraId="45ECD6FA" w14:textId="77777777" w:rsidR="002D6A94" w:rsidRPr="002D6A94" w:rsidRDefault="002D6A94" w:rsidP="002D6A94">
      <w:pPr>
        <w:numPr>
          <w:ilvl w:val="0"/>
          <w:numId w:val="10"/>
        </w:numPr>
        <w:jc w:val="both"/>
        <w:rPr>
          <w:rFonts w:ascii="Arial" w:hAnsi="Arial" w:cs="Arial"/>
          <w:sz w:val="20"/>
          <w:szCs w:val="20"/>
        </w:rPr>
      </w:pPr>
      <w:r w:rsidRPr="002D6A94">
        <w:rPr>
          <w:rFonts w:ascii="Arial" w:hAnsi="Arial" w:cs="Arial"/>
          <w:sz w:val="20"/>
          <w:szCs w:val="20"/>
        </w:rPr>
        <w:t>Provisions for asymmetry and flexibility in the framework.</w:t>
      </w:r>
    </w:p>
    <w:p w14:paraId="2A000080" w14:textId="77777777" w:rsidR="002D6A94" w:rsidRPr="002D6A94" w:rsidRDefault="002D6A94" w:rsidP="002D6A94">
      <w:pPr>
        <w:numPr>
          <w:ilvl w:val="0"/>
          <w:numId w:val="10"/>
        </w:numPr>
        <w:jc w:val="both"/>
        <w:rPr>
          <w:rFonts w:ascii="Arial" w:hAnsi="Arial" w:cs="Arial"/>
          <w:sz w:val="20"/>
          <w:szCs w:val="20"/>
        </w:rPr>
      </w:pPr>
      <w:r w:rsidRPr="002D6A94">
        <w:rPr>
          <w:rFonts w:ascii="Arial" w:hAnsi="Arial" w:cs="Arial"/>
          <w:sz w:val="20"/>
          <w:szCs w:val="20"/>
        </w:rPr>
        <w:t>Availability of legal remedies where MLG principles are breached.</w:t>
      </w:r>
    </w:p>
    <w:p w14:paraId="5D1FF382" w14:textId="508ECE4F" w:rsidR="002D6A94" w:rsidRPr="002D6A94" w:rsidRDefault="002D6A94" w:rsidP="002D6A94">
      <w:pPr>
        <w:jc w:val="both"/>
        <w:rPr>
          <w:rFonts w:ascii="Arial" w:hAnsi="Arial" w:cs="Arial"/>
          <w:b/>
          <w:bCs/>
          <w:sz w:val="20"/>
          <w:szCs w:val="20"/>
        </w:rPr>
      </w:pPr>
      <w:r>
        <w:rPr>
          <w:rFonts w:ascii="Arial" w:hAnsi="Arial" w:cs="Arial"/>
          <w:b/>
          <w:bCs/>
          <w:sz w:val="20"/>
          <w:szCs w:val="20"/>
        </w:rPr>
        <w:t>4.</w:t>
      </w:r>
      <w:r w:rsidRPr="002D6A94">
        <w:rPr>
          <w:rFonts w:ascii="Arial" w:hAnsi="Arial" w:cs="Arial"/>
          <w:b/>
          <w:bCs/>
          <w:sz w:val="20"/>
          <w:szCs w:val="20"/>
        </w:rPr>
        <w:t>5. Oversight, responsibilities and resources</w:t>
      </w:r>
    </w:p>
    <w:p w14:paraId="2DCDA73B" w14:textId="77777777" w:rsidR="002D6A94" w:rsidRPr="002D6A94" w:rsidRDefault="002D6A94" w:rsidP="002D6A94">
      <w:pPr>
        <w:numPr>
          <w:ilvl w:val="0"/>
          <w:numId w:val="11"/>
        </w:numPr>
        <w:jc w:val="both"/>
        <w:rPr>
          <w:rFonts w:ascii="Arial" w:hAnsi="Arial" w:cs="Arial"/>
          <w:sz w:val="20"/>
          <w:szCs w:val="20"/>
        </w:rPr>
      </w:pPr>
      <w:r w:rsidRPr="002D6A94">
        <w:rPr>
          <w:rFonts w:ascii="Arial" w:hAnsi="Arial" w:cs="Arial"/>
          <w:sz w:val="20"/>
          <w:szCs w:val="20"/>
        </w:rPr>
        <w:t>Oversight to be proportionate, limited to ensuring legality and respect for rights.</w:t>
      </w:r>
    </w:p>
    <w:p w14:paraId="45955694" w14:textId="77777777" w:rsidR="002D6A94" w:rsidRPr="002D6A94" w:rsidRDefault="002D6A94" w:rsidP="002D6A94">
      <w:pPr>
        <w:numPr>
          <w:ilvl w:val="0"/>
          <w:numId w:val="11"/>
        </w:numPr>
        <w:jc w:val="both"/>
        <w:rPr>
          <w:rFonts w:ascii="Arial" w:hAnsi="Arial" w:cs="Arial"/>
          <w:sz w:val="20"/>
          <w:szCs w:val="20"/>
        </w:rPr>
      </w:pPr>
      <w:r w:rsidRPr="002D6A94">
        <w:rPr>
          <w:rFonts w:ascii="Arial" w:hAnsi="Arial" w:cs="Arial"/>
          <w:sz w:val="20"/>
          <w:szCs w:val="20"/>
        </w:rPr>
        <w:t>Avoiding political instrumentalisation of oversight.</w:t>
      </w:r>
    </w:p>
    <w:p w14:paraId="0D2744EF" w14:textId="77777777" w:rsidR="002D6A94" w:rsidRPr="002D6A94" w:rsidRDefault="002D6A94" w:rsidP="002D6A94">
      <w:pPr>
        <w:numPr>
          <w:ilvl w:val="0"/>
          <w:numId w:val="11"/>
        </w:numPr>
        <w:jc w:val="both"/>
        <w:rPr>
          <w:rFonts w:ascii="Arial" w:hAnsi="Arial" w:cs="Arial"/>
          <w:sz w:val="20"/>
          <w:szCs w:val="20"/>
        </w:rPr>
      </w:pPr>
      <w:r w:rsidRPr="002D6A94">
        <w:rPr>
          <w:rFonts w:ascii="Arial" w:hAnsi="Arial" w:cs="Arial"/>
          <w:sz w:val="20"/>
          <w:szCs w:val="20"/>
        </w:rPr>
        <w:t>Matching responsibilities with commensurate resources (financial, human, technical).</w:t>
      </w:r>
    </w:p>
    <w:p w14:paraId="368C3E25" w14:textId="77777777" w:rsidR="002D6A94" w:rsidRPr="002D6A94" w:rsidRDefault="002D6A94" w:rsidP="002D6A94">
      <w:pPr>
        <w:numPr>
          <w:ilvl w:val="0"/>
          <w:numId w:val="11"/>
        </w:numPr>
        <w:jc w:val="both"/>
        <w:rPr>
          <w:rFonts w:ascii="Arial" w:hAnsi="Arial" w:cs="Arial"/>
          <w:sz w:val="20"/>
          <w:szCs w:val="20"/>
        </w:rPr>
      </w:pPr>
      <w:r w:rsidRPr="002D6A94">
        <w:rPr>
          <w:rFonts w:ascii="Arial" w:hAnsi="Arial" w:cs="Arial"/>
          <w:sz w:val="20"/>
          <w:szCs w:val="20"/>
        </w:rPr>
        <w:t>Enabling local/regional governments to raise their own resources, within national frameworks.</w:t>
      </w:r>
    </w:p>
    <w:p w14:paraId="3D38E98F" w14:textId="77777777" w:rsidR="002D6A94" w:rsidRPr="002D6A94" w:rsidRDefault="002D6A94" w:rsidP="002D6A94">
      <w:pPr>
        <w:numPr>
          <w:ilvl w:val="0"/>
          <w:numId w:val="11"/>
        </w:numPr>
        <w:jc w:val="both"/>
        <w:rPr>
          <w:rFonts w:ascii="Arial" w:hAnsi="Arial" w:cs="Arial"/>
          <w:sz w:val="20"/>
          <w:szCs w:val="20"/>
        </w:rPr>
      </w:pPr>
      <w:r w:rsidRPr="002D6A94">
        <w:rPr>
          <w:rFonts w:ascii="Arial" w:hAnsi="Arial" w:cs="Arial"/>
          <w:sz w:val="20"/>
          <w:szCs w:val="20"/>
        </w:rPr>
        <w:t>Ensuring stability and predictability of funding.</w:t>
      </w:r>
    </w:p>
    <w:p w14:paraId="4B64DDCD" w14:textId="7DB14AD4" w:rsidR="002D6A94" w:rsidRPr="002D6A94" w:rsidRDefault="002D6A94" w:rsidP="002D6A94">
      <w:pPr>
        <w:jc w:val="both"/>
        <w:rPr>
          <w:rFonts w:ascii="Arial" w:hAnsi="Arial" w:cs="Arial"/>
          <w:b/>
          <w:bCs/>
          <w:sz w:val="20"/>
          <w:szCs w:val="20"/>
        </w:rPr>
      </w:pPr>
      <w:r>
        <w:rPr>
          <w:rFonts w:ascii="Arial" w:hAnsi="Arial" w:cs="Arial"/>
          <w:b/>
          <w:bCs/>
          <w:sz w:val="20"/>
          <w:szCs w:val="20"/>
        </w:rPr>
        <w:t>4.</w:t>
      </w:r>
      <w:r w:rsidRPr="002D6A94">
        <w:rPr>
          <w:rFonts w:ascii="Arial" w:hAnsi="Arial" w:cs="Arial"/>
          <w:b/>
          <w:bCs/>
          <w:sz w:val="20"/>
          <w:szCs w:val="20"/>
        </w:rPr>
        <w:t>6. Accountability</w:t>
      </w:r>
    </w:p>
    <w:p w14:paraId="779DECEB" w14:textId="77777777" w:rsidR="002D6A94" w:rsidRPr="002D6A94" w:rsidRDefault="002D6A94" w:rsidP="002D6A94">
      <w:pPr>
        <w:numPr>
          <w:ilvl w:val="0"/>
          <w:numId w:val="12"/>
        </w:numPr>
        <w:jc w:val="both"/>
        <w:rPr>
          <w:rFonts w:ascii="Arial" w:hAnsi="Arial" w:cs="Arial"/>
          <w:sz w:val="20"/>
          <w:szCs w:val="20"/>
        </w:rPr>
      </w:pPr>
      <w:r w:rsidRPr="002D6A94">
        <w:rPr>
          <w:rFonts w:ascii="Arial" w:hAnsi="Arial" w:cs="Arial"/>
          <w:sz w:val="20"/>
          <w:szCs w:val="20"/>
        </w:rPr>
        <w:t>Transparent reporting mechanisms at all levels of government.</w:t>
      </w:r>
    </w:p>
    <w:p w14:paraId="0096DF59" w14:textId="77777777" w:rsidR="002D6A94" w:rsidRPr="002D6A94" w:rsidRDefault="002D6A94" w:rsidP="002D6A94">
      <w:pPr>
        <w:numPr>
          <w:ilvl w:val="0"/>
          <w:numId w:val="12"/>
        </w:numPr>
        <w:jc w:val="both"/>
        <w:rPr>
          <w:rFonts w:ascii="Arial" w:hAnsi="Arial" w:cs="Arial"/>
          <w:sz w:val="20"/>
          <w:szCs w:val="20"/>
        </w:rPr>
      </w:pPr>
      <w:r w:rsidRPr="002D6A94">
        <w:rPr>
          <w:rFonts w:ascii="Arial" w:hAnsi="Arial" w:cs="Arial"/>
          <w:sz w:val="20"/>
          <w:szCs w:val="20"/>
        </w:rPr>
        <w:t>Independent audit and evaluation of subnational authorities.</w:t>
      </w:r>
    </w:p>
    <w:p w14:paraId="37030311" w14:textId="77777777" w:rsidR="002D6A94" w:rsidRPr="002D6A94" w:rsidRDefault="002D6A94" w:rsidP="002D6A94">
      <w:pPr>
        <w:numPr>
          <w:ilvl w:val="0"/>
          <w:numId w:val="12"/>
        </w:numPr>
        <w:jc w:val="both"/>
        <w:rPr>
          <w:rFonts w:ascii="Arial" w:hAnsi="Arial" w:cs="Arial"/>
          <w:sz w:val="20"/>
          <w:szCs w:val="20"/>
        </w:rPr>
      </w:pPr>
      <w:r w:rsidRPr="002D6A94">
        <w:rPr>
          <w:rFonts w:ascii="Arial" w:hAnsi="Arial" w:cs="Arial"/>
          <w:sz w:val="20"/>
          <w:szCs w:val="20"/>
        </w:rPr>
        <w:t>Accountability upwards (to central government) and downwards (to citizens).</w:t>
      </w:r>
    </w:p>
    <w:p w14:paraId="099983B0" w14:textId="77777777" w:rsidR="002D6A94" w:rsidRPr="002D6A94" w:rsidRDefault="002D6A94" w:rsidP="002D6A94">
      <w:pPr>
        <w:numPr>
          <w:ilvl w:val="0"/>
          <w:numId w:val="12"/>
        </w:numPr>
        <w:jc w:val="both"/>
        <w:rPr>
          <w:rFonts w:ascii="Arial" w:hAnsi="Arial" w:cs="Arial"/>
          <w:sz w:val="20"/>
          <w:szCs w:val="20"/>
        </w:rPr>
      </w:pPr>
      <w:r w:rsidRPr="002D6A94">
        <w:rPr>
          <w:rFonts w:ascii="Arial" w:hAnsi="Arial" w:cs="Arial"/>
          <w:sz w:val="20"/>
          <w:szCs w:val="20"/>
        </w:rPr>
        <w:t>Sanctions/remedies available when misuse of competences occurs.</w:t>
      </w:r>
    </w:p>
    <w:p w14:paraId="615DB414" w14:textId="66A5E0F5" w:rsidR="002D6A94" w:rsidRPr="002D6A94" w:rsidRDefault="002D6A94" w:rsidP="002D6A94">
      <w:pPr>
        <w:jc w:val="both"/>
        <w:rPr>
          <w:rFonts w:ascii="Arial" w:hAnsi="Arial" w:cs="Arial"/>
          <w:b/>
          <w:bCs/>
          <w:sz w:val="20"/>
          <w:szCs w:val="20"/>
        </w:rPr>
      </w:pPr>
      <w:r>
        <w:rPr>
          <w:rFonts w:ascii="Arial" w:hAnsi="Arial" w:cs="Arial"/>
          <w:b/>
          <w:bCs/>
          <w:sz w:val="20"/>
          <w:szCs w:val="20"/>
        </w:rPr>
        <w:t>4.</w:t>
      </w:r>
      <w:r w:rsidRPr="002D6A94">
        <w:rPr>
          <w:rFonts w:ascii="Arial" w:hAnsi="Arial" w:cs="Arial"/>
          <w:b/>
          <w:bCs/>
          <w:sz w:val="20"/>
          <w:szCs w:val="20"/>
        </w:rPr>
        <w:t>7. Civil participation</w:t>
      </w:r>
    </w:p>
    <w:p w14:paraId="62D2457F" w14:textId="77777777" w:rsidR="002D6A94" w:rsidRPr="002D6A94" w:rsidRDefault="002D6A94" w:rsidP="002D6A94">
      <w:pPr>
        <w:numPr>
          <w:ilvl w:val="0"/>
          <w:numId w:val="13"/>
        </w:numPr>
        <w:jc w:val="both"/>
        <w:rPr>
          <w:rFonts w:ascii="Arial" w:hAnsi="Arial" w:cs="Arial"/>
          <w:sz w:val="20"/>
          <w:szCs w:val="20"/>
        </w:rPr>
      </w:pPr>
      <w:r w:rsidRPr="002D6A94">
        <w:rPr>
          <w:rFonts w:ascii="Arial" w:hAnsi="Arial" w:cs="Arial"/>
          <w:sz w:val="20"/>
          <w:szCs w:val="20"/>
        </w:rPr>
        <w:t>Embedding civil participation as a standard practice in policymaking at all levels.</w:t>
      </w:r>
    </w:p>
    <w:p w14:paraId="37C0F7FF" w14:textId="77777777" w:rsidR="002D6A94" w:rsidRPr="002D6A94" w:rsidRDefault="002D6A94" w:rsidP="002D6A94">
      <w:pPr>
        <w:numPr>
          <w:ilvl w:val="0"/>
          <w:numId w:val="13"/>
        </w:numPr>
        <w:jc w:val="both"/>
        <w:rPr>
          <w:rFonts w:ascii="Arial" w:hAnsi="Arial" w:cs="Arial"/>
          <w:sz w:val="20"/>
          <w:szCs w:val="20"/>
        </w:rPr>
      </w:pPr>
      <w:r w:rsidRPr="002D6A94">
        <w:rPr>
          <w:rFonts w:ascii="Arial" w:hAnsi="Arial" w:cs="Arial"/>
          <w:sz w:val="20"/>
          <w:szCs w:val="20"/>
        </w:rPr>
        <w:t>Inclusion of minorities, vulnerable groups, youth, and women.</w:t>
      </w:r>
    </w:p>
    <w:p w14:paraId="00F6C9D5" w14:textId="77777777" w:rsidR="002D6A94" w:rsidRPr="002D6A94" w:rsidRDefault="002D6A94" w:rsidP="002D6A94">
      <w:pPr>
        <w:numPr>
          <w:ilvl w:val="0"/>
          <w:numId w:val="13"/>
        </w:numPr>
        <w:jc w:val="both"/>
        <w:rPr>
          <w:rFonts w:ascii="Arial" w:hAnsi="Arial" w:cs="Arial"/>
          <w:sz w:val="20"/>
          <w:szCs w:val="20"/>
        </w:rPr>
      </w:pPr>
      <w:r w:rsidRPr="002D6A94">
        <w:rPr>
          <w:rFonts w:ascii="Arial" w:hAnsi="Arial" w:cs="Arial"/>
          <w:sz w:val="20"/>
          <w:szCs w:val="20"/>
        </w:rPr>
        <w:t>Practicing participatory and deliberative democracy methods.</w:t>
      </w:r>
    </w:p>
    <w:p w14:paraId="16A99BD7" w14:textId="77777777" w:rsidR="002D6A94" w:rsidRPr="002D6A94" w:rsidRDefault="002D6A94" w:rsidP="002D6A94">
      <w:pPr>
        <w:numPr>
          <w:ilvl w:val="0"/>
          <w:numId w:val="13"/>
        </w:numPr>
        <w:jc w:val="both"/>
        <w:rPr>
          <w:rFonts w:ascii="Arial" w:hAnsi="Arial" w:cs="Arial"/>
          <w:sz w:val="20"/>
          <w:szCs w:val="20"/>
        </w:rPr>
      </w:pPr>
      <w:r w:rsidRPr="002D6A94">
        <w:rPr>
          <w:rFonts w:ascii="Arial" w:hAnsi="Arial" w:cs="Arial"/>
          <w:sz w:val="20"/>
          <w:szCs w:val="20"/>
        </w:rPr>
        <w:t>Building trust by ensuring feedback (citizens see the impact of their input).</w:t>
      </w:r>
    </w:p>
    <w:p w14:paraId="03CC4813" w14:textId="77777777" w:rsidR="002D6A94" w:rsidRPr="002D6A94" w:rsidRDefault="002D6A94" w:rsidP="002D6A94">
      <w:pPr>
        <w:numPr>
          <w:ilvl w:val="0"/>
          <w:numId w:val="13"/>
        </w:numPr>
        <w:jc w:val="both"/>
        <w:rPr>
          <w:rFonts w:ascii="Arial" w:hAnsi="Arial" w:cs="Arial"/>
          <w:sz w:val="20"/>
          <w:szCs w:val="20"/>
        </w:rPr>
      </w:pPr>
      <w:r w:rsidRPr="002D6A94">
        <w:rPr>
          <w:rFonts w:ascii="Arial" w:hAnsi="Arial" w:cs="Arial"/>
          <w:sz w:val="20"/>
          <w:szCs w:val="20"/>
        </w:rPr>
        <w:t>Supporting civil society organisations with access to information and consultation.</w:t>
      </w:r>
    </w:p>
    <w:p w14:paraId="4EF5AC06" w14:textId="092ADD9D" w:rsidR="002D6A94" w:rsidRPr="002D6A94" w:rsidRDefault="002D6A94" w:rsidP="002D6A94">
      <w:pPr>
        <w:jc w:val="both"/>
        <w:rPr>
          <w:rFonts w:ascii="Arial" w:hAnsi="Arial" w:cs="Arial"/>
          <w:b/>
          <w:bCs/>
          <w:sz w:val="20"/>
          <w:szCs w:val="20"/>
        </w:rPr>
      </w:pPr>
      <w:r>
        <w:rPr>
          <w:rFonts w:ascii="Arial" w:hAnsi="Arial" w:cs="Arial"/>
          <w:b/>
          <w:bCs/>
          <w:sz w:val="20"/>
          <w:szCs w:val="20"/>
        </w:rPr>
        <w:t>4.</w:t>
      </w:r>
      <w:r w:rsidRPr="002D6A94">
        <w:rPr>
          <w:rFonts w:ascii="Arial" w:hAnsi="Arial" w:cs="Arial"/>
          <w:b/>
          <w:bCs/>
          <w:sz w:val="20"/>
          <w:szCs w:val="20"/>
        </w:rPr>
        <w:t>8. Transparency and openness</w:t>
      </w:r>
    </w:p>
    <w:p w14:paraId="41D53D55" w14:textId="77777777" w:rsidR="002D6A94" w:rsidRPr="002D6A94" w:rsidRDefault="002D6A94" w:rsidP="002D6A94">
      <w:pPr>
        <w:numPr>
          <w:ilvl w:val="0"/>
          <w:numId w:val="14"/>
        </w:numPr>
        <w:jc w:val="both"/>
        <w:rPr>
          <w:rFonts w:ascii="Arial" w:hAnsi="Arial" w:cs="Arial"/>
          <w:sz w:val="20"/>
          <w:szCs w:val="20"/>
        </w:rPr>
      </w:pPr>
      <w:r w:rsidRPr="002D6A94">
        <w:rPr>
          <w:rFonts w:ascii="Arial" w:hAnsi="Arial" w:cs="Arial"/>
          <w:sz w:val="20"/>
          <w:szCs w:val="20"/>
        </w:rPr>
        <w:t>Ensuring decisions and processes are accessible to the public.</w:t>
      </w:r>
    </w:p>
    <w:p w14:paraId="2C9EAB44" w14:textId="77777777" w:rsidR="002D6A94" w:rsidRPr="002D6A94" w:rsidRDefault="002D6A94" w:rsidP="002D6A94">
      <w:pPr>
        <w:numPr>
          <w:ilvl w:val="0"/>
          <w:numId w:val="14"/>
        </w:numPr>
        <w:jc w:val="both"/>
        <w:rPr>
          <w:rFonts w:ascii="Arial" w:hAnsi="Arial" w:cs="Arial"/>
          <w:sz w:val="20"/>
          <w:szCs w:val="20"/>
        </w:rPr>
      </w:pPr>
      <w:r w:rsidRPr="002D6A94">
        <w:rPr>
          <w:rFonts w:ascii="Arial" w:hAnsi="Arial" w:cs="Arial"/>
          <w:sz w:val="20"/>
          <w:szCs w:val="20"/>
        </w:rPr>
        <w:t>Developing open government initiatives and digital transparency tools.</w:t>
      </w:r>
    </w:p>
    <w:p w14:paraId="5E1D0AD2" w14:textId="77777777" w:rsidR="002D6A94" w:rsidRPr="002D6A94" w:rsidRDefault="002D6A94" w:rsidP="002D6A94">
      <w:pPr>
        <w:numPr>
          <w:ilvl w:val="0"/>
          <w:numId w:val="14"/>
        </w:numPr>
        <w:jc w:val="both"/>
        <w:rPr>
          <w:rFonts w:ascii="Arial" w:hAnsi="Arial" w:cs="Arial"/>
          <w:sz w:val="20"/>
          <w:szCs w:val="20"/>
        </w:rPr>
      </w:pPr>
      <w:r w:rsidRPr="002D6A94">
        <w:rPr>
          <w:rFonts w:ascii="Arial" w:hAnsi="Arial" w:cs="Arial"/>
          <w:sz w:val="20"/>
          <w:szCs w:val="20"/>
        </w:rPr>
        <w:t>Guaranteeing access to information, while balancing data protection.</w:t>
      </w:r>
    </w:p>
    <w:p w14:paraId="1B350032" w14:textId="77777777" w:rsidR="002D6A94" w:rsidRPr="002D6A94" w:rsidRDefault="002D6A94" w:rsidP="002D6A94">
      <w:pPr>
        <w:numPr>
          <w:ilvl w:val="0"/>
          <w:numId w:val="14"/>
        </w:numPr>
        <w:jc w:val="both"/>
        <w:rPr>
          <w:rFonts w:ascii="Arial" w:hAnsi="Arial" w:cs="Arial"/>
          <w:sz w:val="20"/>
          <w:szCs w:val="20"/>
        </w:rPr>
      </w:pPr>
      <w:r w:rsidRPr="002D6A94">
        <w:rPr>
          <w:rFonts w:ascii="Arial" w:hAnsi="Arial" w:cs="Arial"/>
          <w:sz w:val="20"/>
          <w:szCs w:val="20"/>
        </w:rPr>
        <w:t>Promoting transparent budgets, spending, and funding flows at all levels.</w:t>
      </w:r>
    </w:p>
    <w:p w14:paraId="5B5532D6" w14:textId="77777777" w:rsidR="002D6A94" w:rsidRDefault="002D6A94" w:rsidP="002D6A94">
      <w:pPr>
        <w:numPr>
          <w:ilvl w:val="0"/>
          <w:numId w:val="14"/>
        </w:numPr>
        <w:jc w:val="both"/>
        <w:rPr>
          <w:rFonts w:ascii="Arial" w:hAnsi="Arial" w:cs="Arial"/>
          <w:sz w:val="20"/>
          <w:szCs w:val="20"/>
        </w:rPr>
      </w:pPr>
      <w:r w:rsidRPr="002D6A94">
        <w:rPr>
          <w:rFonts w:ascii="Arial" w:hAnsi="Arial" w:cs="Arial"/>
          <w:sz w:val="20"/>
          <w:szCs w:val="20"/>
        </w:rPr>
        <w:t>Supporting the capacity of citizens and media to use data effectively.</w:t>
      </w:r>
    </w:p>
    <w:p w14:paraId="3FF08704" w14:textId="097875AE" w:rsidR="008F0396" w:rsidRDefault="008F0396">
      <w:pPr>
        <w:spacing w:line="278" w:lineRule="auto"/>
        <w:rPr>
          <w:rFonts w:ascii="Arial" w:hAnsi="Arial" w:cs="Arial"/>
          <w:sz w:val="20"/>
          <w:szCs w:val="20"/>
        </w:rPr>
      </w:pPr>
      <w:r>
        <w:rPr>
          <w:rFonts w:ascii="Arial" w:hAnsi="Arial" w:cs="Arial"/>
          <w:sz w:val="20"/>
          <w:szCs w:val="20"/>
        </w:rPr>
        <w:br w:type="page"/>
      </w:r>
    </w:p>
    <w:p w14:paraId="6E8C302E" w14:textId="147955F6" w:rsidR="002D6A94" w:rsidRPr="002D6A94" w:rsidRDefault="002D6A94" w:rsidP="002D6A94">
      <w:pPr>
        <w:jc w:val="both"/>
        <w:rPr>
          <w:rFonts w:ascii="Arial" w:hAnsi="Arial" w:cs="Arial"/>
          <w:b/>
          <w:bCs/>
          <w:sz w:val="20"/>
          <w:szCs w:val="20"/>
        </w:rPr>
      </w:pPr>
      <w:r>
        <w:rPr>
          <w:rFonts w:ascii="Arial" w:hAnsi="Arial" w:cs="Arial"/>
          <w:b/>
          <w:bCs/>
          <w:sz w:val="20"/>
          <w:szCs w:val="20"/>
        </w:rPr>
        <w:lastRenderedPageBreak/>
        <w:t>4.</w:t>
      </w:r>
      <w:r w:rsidRPr="002D6A94">
        <w:rPr>
          <w:rFonts w:ascii="Arial" w:hAnsi="Arial" w:cs="Arial"/>
          <w:b/>
          <w:bCs/>
          <w:sz w:val="20"/>
          <w:szCs w:val="20"/>
        </w:rPr>
        <w:t xml:space="preserve">9. Capacity building and innovation </w:t>
      </w:r>
      <w:r w:rsidRPr="002D6A94">
        <w:rPr>
          <w:rFonts w:ascii="Arial" w:hAnsi="Arial" w:cs="Arial"/>
          <w:b/>
          <w:bCs/>
          <w:i/>
          <w:iCs/>
          <w:sz w:val="20"/>
          <w:szCs w:val="20"/>
        </w:rPr>
        <w:t>(addition)</w:t>
      </w:r>
    </w:p>
    <w:p w14:paraId="132138E5" w14:textId="77777777" w:rsidR="002D6A94" w:rsidRPr="002D6A94" w:rsidRDefault="002D6A94" w:rsidP="002D6A94">
      <w:pPr>
        <w:numPr>
          <w:ilvl w:val="0"/>
          <w:numId w:val="15"/>
        </w:numPr>
        <w:jc w:val="both"/>
        <w:rPr>
          <w:rFonts w:ascii="Arial" w:hAnsi="Arial" w:cs="Arial"/>
          <w:sz w:val="20"/>
          <w:szCs w:val="20"/>
        </w:rPr>
      </w:pPr>
      <w:r w:rsidRPr="002D6A94">
        <w:rPr>
          <w:rFonts w:ascii="Arial" w:hAnsi="Arial" w:cs="Arial"/>
          <w:sz w:val="20"/>
          <w:szCs w:val="20"/>
        </w:rPr>
        <w:t>Training and technical assistance for local and regional authorities.</w:t>
      </w:r>
    </w:p>
    <w:p w14:paraId="7C90571E" w14:textId="77777777" w:rsidR="002D6A94" w:rsidRPr="002D6A94" w:rsidRDefault="002D6A94" w:rsidP="002D6A94">
      <w:pPr>
        <w:numPr>
          <w:ilvl w:val="0"/>
          <w:numId w:val="15"/>
        </w:numPr>
        <w:jc w:val="both"/>
        <w:rPr>
          <w:rFonts w:ascii="Arial" w:hAnsi="Arial" w:cs="Arial"/>
          <w:sz w:val="20"/>
          <w:szCs w:val="20"/>
        </w:rPr>
      </w:pPr>
      <w:r w:rsidRPr="002D6A94">
        <w:rPr>
          <w:rFonts w:ascii="Arial" w:hAnsi="Arial" w:cs="Arial"/>
          <w:sz w:val="20"/>
          <w:szCs w:val="20"/>
        </w:rPr>
        <w:t>Exchange of good practices across municipalities and regions.</w:t>
      </w:r>
    </w:p>
    <w:p w14:paraId="486B275D" w14:textId="77777777" w:rsidR="002D6A94" w:rsidRPr="002D6A94" w:rsidRDefault="002D6A94" w:rsidP="002D6A94">
      <w:pPr>
        <w:numPr>
          <w:ilvl w:val="0"/>
          <w:numId w:val="15"/>
        </w:numPr>
        <w:jc w:val="both"/>
        <w:rPr>
          <w:rFonts w:ascii="Arial" w:hAnsi="Arial" w:cs="Arial"/>
          <w:sz w:val="20"/>
          <w:szCs w:val="20"/>
        </w:rPr>
      </w:pPr>
      <w:r w:rsidRPr="002D6A94">
        <w:rPr>
          <w:rFonts w:ascii="Arial" w:hAnsi="Arial" w:cs="Arial"/>
          <w:sz w:val="20"/>
          <w:szCs w:val="20"/>
        </w:rPr>
        <w:t>Support for experimentation, pilot projects and other innovations in governance methods.</w:t>
      </w:r>
    </w:p>
    <w:p w14:paraId="51D1F23A" w14:textId="77777777" w:rsidR="002D6A94" w:rsidRPr="002D6A94" w:rsidRDefault="002D6A94" w:rsidP="002D6A94">
      <w:pPr>
        <w:numPr>
          <w:ilvl w:val="0"/>
          <w:numId w:val="15"/>
        </w:numPr>
        <w:jc w:val="both"/>
        <w:rPr>
          <w:rFonts w:ascii="Arial" w:hAnsi="Arial" w:cs="Arial"/>
          <w:sz w:val="20"/>
          <w:szCs w:val="20"/>
        </w:rPr>
      </w:pPr>
      <w:r w:rsidRPr="002D6A94">
        <w:rPr>
          <w:rFonts w:ascii="Arial" w:hAnsi="Arial" w:cs="Arial"/>
          <w:sz w:val="20"/>
          <w:szCs w:val="20"/>
        </w:rPr>
        <w:t>Strengthen digital capacity, especially in smaller or rural administrations.</w:t>
      </w:r>
    </w:p>
    <w:p w14:paraId="7E4673EF" w14:textId="77777777" w:rsidR="002D6A94" w:rsidRPr="002D6A94" w:rsidRDefault="002D6A94" w:rsidP="002D6A94">
      <w:pPr>
        <w:jc w:val="both"/>
        <w:rPr>
          <w:rFonts w:ascii="Arial" w:hAnsi="Arial" w:cs="Arial"/>
          <w:sz w:val="20"/>
          <w:szCs w:val="20"/>
        </w:rPr>
      </w:pPr>
    </w:p>
    <w:p w14:paraId="6FDA81FF" w14:textId="77777777" w:rsidR="002D6A94" w:rsidRPr="002D6A94" w:rsidRDefault="002D6A94" w:rsidP="002D6A94">
      <w:pPr>
        <w:jc w:val="both"/>
        <w:rPr>
          <w:rFonts w:ascii="Arial" w:hAnsi="Arial" w:cs="Arial"/>
          <w:sz w:val="20"/>
          <w:szCs w:val="20"/>
        </w:rPr>
      </w:pPr>
    </w:p>
    <w:p w14:paraId="2CB9FC50" w14:textId="77777777" w:rsidR="002D6A94" w:rsidRPr="002D6A94" w:rsidRDefault="002D6A94" w:rsidP="002D6A94">
      <w:pPr>
        <w:jc w:val="both"/>
        <w:rPr>
          <w:rFonts w:ascii="Arial" w:hAnsi="Arial" w:cs="Arial"/>
          <w:sz w:val="20"/>
          <w:szCs w:val="20"/>
        </w:rPr>
      </w:pPr>
    </w:p>
    <w:p w14:paraId="3AF5A61D" w14:textId="77777777" w:rsidR="002D6A94" w:rsidRPr="002D6A94" w:rsidRDefault="002D6A94" w:rsidP="002D6A94">
      <w:pPr>
        <w:jc w:val="both"/>
        <w:rPr>
          <w:rFonts w:ascii="Arial" w:hAnsi="Arial" w:cs="Arial"/>
          <w:sz w:val="20"/>
          <w:szCs w:val="20"/>
        </w:rPr>
      </w:pPr>
    </w:p>
    <w:p w14:paraId="060468DD" w14:textId="77777777" w:rsidR="0099616B" w:rsidRPr="002D6A94" w:rsidRDefault="0099616B">
      <w:pPr>
        <w:rPr>
          <w:rFonts w:ascii="Arial" w:hAnsi="Arial" w:cs="Arial"/>
          <w:sz w:val="20"/>
          <w:szCs w:val="20"/>
        </w:rPr>
      </w:pPr>
    </w:p>
    <w:sectPr w:rsidR="0099616B" w:rsidRPr="002D6A94" w:rsidSect="00864B60">
      <w:headerReference w:type="default" r:id="rId8"/>
      <w:footerReference w:type="default" r:id="rI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9282B" w14:textId="77777777" w:rsidR="003A6390" w:rsidRDefault="003A6390" w:rsidP="002D6A94">
      <w:pPr>
        <w:spacing w:after="0" w:line="240" w:lineRule="auto"/>
      </w:pPr>
      <w:r>
        <w:separator/>
      </w:r>
    </w:p>
  </w:endnote>
  <w:endnote w:type="continuationSeparator" w:id="0">
    <w:p w14:paraId="0B2E733D" w14:textId="77777777" w:rsidR="003A6390" w:rsidRDefault="003A6390" w:rsidP="002D6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5FB12" w14:textId="51B979C7" w:rsidR="008F0396" w:rsidRPr="008F0396" w:rsidRDefault="008F0396" w:rsidP="008F0396">
    <w:pPr>
      <w:spacing w:after="0" w:line="240" w:lineRule="auto"/>
      <w:jc w:val="center"/>
      <w:rPr>
        <w:rFonts w:ascii="Arial" w:hAnsi="Arial" w:cs="Arial"/>
        <w:i/>
        <w:iCs/>
        <w:sz w:val="16"/>
        <w:szCs w:val="16"/>
      </w:rPr>
    </w:pPr>
    <w:r>
      <w:rPr>
        <w:rFonts w:ascii="Arial" w:hAnsi="Arial" w:cs="Arial"/>
        <w:i/>
        <w:iCs/>
        <w:sz w:val="16"/>
        <w:szCs w:val="16"/>
      </w:rPr>
      <w:t>P</w:t>
    </w:r>
    <w:r w:rsidRPr="008F0396">
      <w:rPr>
        <w:rFonts w:ascii="Arial" w:hAnsi="Arial" w:cs="Arial"/>
        <w:i/>
        <w:iCs/>
        <w:sz w:val="16"/>
        <w:szCs w:val="16"/>
      </w:rPr>
      <w:t>oints for preliminary reflection and discussion</w:t>
    </w:r>
  </w:p>
  <w:p w14:paraId="04494AF9" w14:textId="6DBCAB2A" w:rsidR="008F0396" w:rsidRPr="008F0396" w:rsidRDefault="008F0396" w:rsidP="008F0396">
    <w:pPr>
      <w:pStyle w:val="Footer"/>
      <w:jc w:val="center"/>
      <w:rPr>
        <w:rFonts w:ascii="Arial" w:hAnsi="Arial" w:cs="Arial"/>
        <w:i/>
        <w:iCs/>
        <w:sz w:val="16"/>
        <w:szCs w:val="16"/>
      </w:rPr>
    </w:pPr>
    <w:r w:rsidRPr="008F0396">
      <w:rPr>
        <w:rFonts w:ascii="Arial" w:hAnsi="Arial" w:cs="Arial"/>
        <w:i/>
        <w:iCs/>
        <w:sz w:val="16"/>
        <w:szCs w:val="16"/>
      </w:rPr>
      <w:t>[GT-CS(2025)5]</w:t>
    </w:r>
  </w:p>
  <w:p w14:paraId="2CF3BD29" w14:textId="77777777" w:rsidR="002D6A94" w:rsidRDefault="002D6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1CF33" w14:textId="77777777" w:rsidR="003A6390" w:rsidRDefault="003A6390" w:rsidP="002D6A94">
      <w:pPr>
        <w:spacing w:after="0" w:line="240" w:lineRule="auto"/>
      </w:pPr>
      <w:r>
        <w:separator/>
      </w:r>
    </w:p>
  </w:footnote>
  <w:footnote w:type="continuationSeparator" w:id="0">
    <w:p w14:paraId="0C68F28D" w14:textId="77777777" w:rsidR="003A6390" w:rsidRDefault="003A6390" w:rsidP="002D6A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2689476"/>
      <w:docPartObj>
        <w:docPartGallery w:val="Page Numbers (Top of Page)"/>
        <w:docPartUnique/>
      </w:docPartObj>
    </w:sdtPr>
    <w:sdtContent>
      <w:p w14:paraId="18E90897" w14:textId="37AD53A3" w:rsidR="00864B60" w:rsidRDefault="00864B60">
        <w:pPr>
          <w:pStyle w:val="Header"/>
          <w:jc w:val="center"/>
        </w:pPr>
        <w:r>
          <w:fldChar w:fldCharType="begin"/>
        </w:r>
        <w:r>
          <w:instrText>PAGE   \* MERGEFORMAT</w:instrText>
        </w:r>
        <w:r>
          <w:fldChar w:fldCharType="separate"/>
        </w:r>
        <w:r>
          <w:rPr>
            <w:lang w:val="fr-FR"/>
          </w:rPr>
          <w:t>2</w:t>
        </w:r>
        <w:r>
          <w:fldChar w:fldCharType="end"/>
        </w:r>
      </w:p>
    </w:sdtContent>
  </w:sdt>
  <w:p w14:paraId="62ED17EC" w14:textId="77777777" w:rsidR="00864B60" w:rsidRDefault="00864B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6393C"/>
    <w:multiLevelType w:val="hybridMultilevel"/>
    <w:tmpl w:val="EF845830"/>
    <w:lvl w:ilvl="0" w:tplc="843C84BC">
      <w:start w:val="6"/>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9A75CA"/>
    <w:multiLevelType w:val="multilevel"/>
    <w:tmpl w:val="16889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AE5C34"/>
    <w:multiLevelType w:val="hybridMultilevel"/>
    <w:tmpl w:val="1B923A00"/>
    <w:lvl w:ilvl="0" w:tplc="843C84BC">
      <w:start w:val="6"/>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112400"/>
    <w:multiLevelType w:val="multilevel"/>
    <w:tmpl w:val="A5984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9B1895"/>
    <w:multiLevelType w:val="multilevel"/>
    <w:tmpl w:val="8CB09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BC097D"/>
    <w:multiLevelType w:val="multilevel"/>
    <w:tmpl w:val="4224E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22445F"/>
    <w:multiLevelType w:val="multilevel"/>
    <w:tmpl w:val="44502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5568C5"/>
    <w:multiLevelType w:val="multilevel"/>
    <w:tmpl w:val="50227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FA782E"/>
    <w:multiLevelType w:val="multilevel"/>
    <w:tmpl w:val="97D8D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7B2DEE"/>
    <w:multiLevelType w:val="multilevel"/>
    <w:tmpl w:val="7C82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E43B78"/>
    <w:multiLevelType w:val="hybridMultilevel"/>
    <w:tmpl w:val="3ABC886A"/>
    <w:lvl w:ilvl="0" w:tplc="843C84BC">
      <w:start w:val="6"/>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C7558D6"/>
    <w:multiLevelType w:val="multilevel"/>
    <w:tmpl w:val="ABBE1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B907BD"/>
    <w:multiLevelType w:val="multilevel"/>
    <w:tmpl w:val="414A0912"/>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3" w15:restartNumberingAfterBreak="0">
    <w:nsid w:val="57CE53C5"/>
    <w:multiLevelType w:val="hybridMultilevel"/>
    <w:tmpl w:val="C194ECDA"/>
    <w:lvl w:ilvl="0" w:tplc="843C84BC">
      <w:start w:val="6"/>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DE4CBD"/>
    <w:multiLevelType w:val="hybridMultilevel"/>
    <w:tmpl w:val="F7783EDA"/>
    <w:lvl w:ilvl="0" w:tplc="843C84BC">
      <w:start w:val="6"/>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2EA680E"/>
    <w:multiLevelType w:val="hybridMultilevel"/>
    <w:tmpl w:val="84424A64"/>
    <w:lvl w:ilvl="0" w:tplc="843C84BC">
      <w:start w:val="6"/>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4597FAA"/>
    <w:multiLevelType w:val="hybridMultilevel"/>
    <w:tmpl w:val="F7E8378E"/>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8774C89"/>
    <w:multiLevelType w:val="multilevel"/>
    <w:tmpl w:val="D5D61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C7B4CEC"/>
    <w:multiLevelType w:val="multilevel"/>
    <w:tmpl w:val="6E425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85427250">
    <w:abstractNumId w:val="13"/>
  </w:num>
  <w:num w:numId="2" w16cid:durableId="590285243">
    <w:abstractNumId w:val="0"/>
  </w:num>
  <w:num w:numId="3" w16cid:durableId="612592381">
    <w:abstractNumId w:val="10"/>
  </w:num>
  <w:num w:numId="4" w16cid:durableId="1108622518">
    <w:abstractNumId w:val="14"/>
  </w:num>
  <w:num w:numId="5" w16cid:durableId="537281299">
    <w:abstractNumId w:val="15"/>
  </w:num>
  <w:num w:numId="6" w16cid:durableId="416706614">
    <w:abstractNumId w:val="2"/>
  </w:num>
  <w:num w:numId="7" w16cid:durableId="224531571">
    <w:abstractNumId w:val="7"/>
  </w:num>
  <w:num w:numId="8" w16cid:durableId="1894926242">
    <w:abstractNumId w:val="8"/>
  </w:num>
  <w:num w:numId="9" w16cid:durableId="783966549">
    <w:abstractNumId w:val="9"/>
  </w:num>
  <w:num w:numId="10" w16cid:durableId="2035957884">
    <w:abstractNumId w:val="6"/>
  </w:num>
  <w:num w:numId="11" w16cid:durableId="1959986333">
    <w:abstractNumId w:val="1"/>
  </w:num>
  <w:num w:numId="12" w16cid:durableId="1544320362">
    <w:abstractNumId w:val="3"/>
  </w:num>
  <w:num w:numId="13" w16cid:durableId="2035231842">
    <w:abstractNumId w:val="5"/>
  </w:num>
  <w:num w:numId="14" w16cid:durableId="1226144302">
    <w:abstractNumId w:val="17"/>
  </w:num>
  <w:num w:numId="15" w16cid:durableId="227810138">
    <w:abstractNumId w:val="18"/>
  </w:num>
  <w:num w:numId="16" w16cid:durableId="1050419643">
    <w:abstractNumId w:val="11"/>
  </w:num>
  <w:num w:numId="17" w16cid:durableId="200484015">
    <w:abstractNumId w:val="4"/>
  </w:num>
  <w:num w:numId="18" w16cid:durableId="504130607">
    <w:abstractNumId w:val="12"/>
  </w:num>
  <w:num w:numId="19" w16cid:durableId="42044408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A94"/>
    <w:rsid w:val="000E768F"/>
    <w:rsid w:val="00294A66"/>
    <w:rsid w:val="002D6A94"/>
    <w:rsid w:val="00321769"/>
    <w:rsid w:val="003A6390"/>
    <w:rsid w:val="004D35BF"/>
    <w:rsid w:val="005675AD"/>
    <w:rsid w:val="00604D32"/>
    <w:rsid w:val="006E42DF"/>
    <w:rsid w:val="00757A1A"/>
    <w:rsid w:val="00864B60"/>
    <w:rsid w:val="008F0396"/>
    <w:rsid w:val="00913794"/>
    <w:rsid w:val="0099616B"/>
    <w:rsid w:val="00AA7BEF"/>
    <w:rsid w:val="00AE6494"/>
    <w:rsid w:val="00C57D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9B4B1"/>
  <w15:chartTrackingRefBased/>
  <w15:docId w15:val="{E4E4A0BA-758F-4F95-A548-1356EF18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6A94"/>
    <w:pPr>
      <w:spacing w:line="259" w:lineRule="auto"/>
    </w:pPr>
    <w:rPr>
      <w:kern w:val="0"/>
      <w:sz w:val="22"/>
      <w:szCs w:val="22"/>
      <w:lang w:val="en-GB"/>
      <w14:ligatures w14:val="none"/>
    </w:rPr>
  </w:style>
  <w:style w:type="paragraph" w:styleId="Heading1">
    <w:name w:val="heading 1"/>
    <w:basedOn w:val="Normal"/>
    <w:next w:val="Normal"/>
    <w:link w:val="Heading1Char"/>
    <w:uiPriority w:val="9"/>
    <w:qFormat/>
    <w:rsid w:val="002D6A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D6A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2D6A9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D6A9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D6A9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D6A9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D6A9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D6A9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D6A9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6A9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D6A9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2D6A9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D6A9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D6A9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D6A9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D6A9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D6A9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D6A94"/>
    <w:rPr>
      <w:rFonts w:eastAsiaTheme="majorEastAsia" w:cstheme="majorBidi"/>
      <w:color w:val="272727" w:themeColor="text1" w:themeTint="D8"/>
    </w:rPr>
  </w:style>
  <w:style w:type="paragraph" w:styleId="Title">
    <w:name w:val="Title"/>
    <w:basedOn w:val="Normal"/>
    <w:next w:val="Normal"/>
    <w:link w:val="TitleChar"/>
    <w:uiPriority w:val="10"/>
    <w:qFormat/>
    <w:rsid w:val="002D6A9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D6A9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D6A9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D6A9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D6A94"/>
    <w:pPr>
      <w:spacing w:before="160"/>
      <w:jc w:val="center"/>
    </w:pPr>
    <w:rPr>
      <w:i/>
      <w:iCs/>
      <w:color w:val="404040" w:themeColor="text1" w:themeTint="BF"/>
    </w:rPr>
  </w:style>
  <w:style w:type="character" w:customStyle="1" w:styleId="QuoteChar">
    <w:name w:val="Quote Char"/>
    <w:basedOn w:val="DefaultParagraphFont"/>
    <w:link w:val="Quote"/>
    <w:uiPriority w:val="29"/>
    <w:rsid w:val="002D6A94"/>
    <w:rPr>
      <w:i/>
      <w:iCs/>
      <w:color w:val="404040" w:themeColor="text1" w:themeTint="BF"/>
    </w:rPr>
  </w:style>
  <w:style w:type="paragraph" w:styleId="ListParagraph">
    <w:name w:val="List Paragraph"/>
    <w:basedOn w:val="Normal"/>
    <w:uiPriority w:val="34"/>
    <w:qFormat/>
    <w:rsid w:val="002D6A94"/>
    <w:pPr>
      <w:ind w:left="720"/>
      <w:contextualSpacing/>
    </w:pPr>
  </w:style>
  <w:style w:type="character" w:styleId="IntenseEmphasis">
    <w:name w:val="Intense Emphasis"/>
    <w:basedOn w:val="DefaultParagraphFont"/>
    <w:uiPriority w:val="21"/>
    <w:qFormat/>
    <w:rsid w:val="002D6A94"/>
    <w:rPr>
      <w:i/>
      <w:iCs/>
      <w:color w:val="0F4761" w:themeColor="accent1" w:themeShade="BF"/>
    </w:rPr>
  </w:style>
  <w:style w:type="paragraph" w:styleId="IntenseQuote">
    <w:name w:val="Intense Quote"/>
    <w:basedOn w:val="Normal"/>
    <w:next w:val="Normal"/>
    <w:link w:val="IntenseQuoteChar"/>
    <w:uiPriority w:val="30"/>
    <w:qFormat/>
    <w:rsid w:val="002D6A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D6A94"/>
    <w:rPr>
      <w:i/>
      <w:iCs/>
      <w:color w:val="0F4761" w:themeColor="accent1" w:themeShade="BF"/>
    </w:rPr>
  </w:style>
  <w:style w:type="character" w:styleId="IntenseReference">
    <w:name w:val="Intense Reference"/>
    <w:basedOn w:val="DefaultParagraphFont"/>
    <w:uiPriority w:val="32"/>
    <w:qFormat/>
    <w:rsid w:val="002D6A94"/>
    <w:rPr>
      <w:b/>
      <w:bCs/>
      <w:smallCaps/>
      <w:color w:val="0F4761" w:themeColor="accent1" w:themeShade="BF"/>
      <w:spacing w:val="5"/>
    </w:rPr>
  </w:style>
  <w:style w:type="paragraph" w:styleId="Header">
    <w:name w:val="header"/>
    <w:basedOn w:val="Normal"/>
    <w:link w:val="HeaderChar"/>
    <w:uiPriority w:val="99"/>
    <w:unhideWhenUsed/>
    <w:rsid w:val="002D6A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6A94"/>
    <w:rPr>
      <w:kern w:val="0"/>
      <w:sz w:val="22"/>
      <w:szCs w:val="22"/>
      <w:lang w:val="en-GB"/>
      <w14:ligatures w14:val="none"/>
    </w:rPr>
  </w:style>
  <w:style w:type="paragraph" w:styleId="Footer">
    <w:name w:val="footer"/>
    <w:basedOn w:val="Normal"/>
    <w:link w:val="FooterChar"/>
    <w:uiPriority w:val="99"/>
    <w:unhideWhenUsed/>
    <w:rsid w:val="002D6A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6A94"/>
    <w:rPr>
      <w:kern w:val="0"/>
      <w:sz w:val="22"/>
      <w:szCs w:val="22"/>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1192</Words>
  <Characters>6557</Characters>
  <Application>Microsoft Office Word</Application>
  <DocSecurity>0</DocSecurity>
  <Lines>54</Lines>
  <Paragraphs>15</Paragraphs>
  <ScaleCrop>false</ScaleCrop>
  <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BECERRA Marta</dc:creator>
  <cp:keywords/>
  <dc:description/>
  <cp:lastModifiedBy>ETTER Isabelle</cp:lastModifiedBy>
  <cp:revision>2</cp:revision>
  <dcterms:created xsi:type="dcterms:W3CDTF">2025-10-20T08:43:00Z</dcterms:created>
  <dcterms:modified xsi:type="dcterms:W3CDTF">2025-10-20T08:43:00Z</dcterms:modified>
</cp:coreProperties>
</file>